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jc w:val="both"/>
        <w:rPr>
          <w:rFonts w:ascii="Arial" w:hAnsi="Arial" w:eastAsia="宋体"/>
          <w:b/>
          <w:lang w:eastAsia="ja-JP"/>
        </w:rPr>
      </w:pPr>
      <w:bookmarkStart w:id="0" w:name="OLE_LINK25"/>
      <w:bookmarkStart w:id="1" w:name="OLE_LINK24"/>
      <w:bookmarkStart w:id="2" w:name="OLE_LINK13"/>
      <w:bookmarkStart w:id="3" w:name="OLE_LINK34"/>
      <w:bookmarkStart w:id="4" w:name="OLE_LINK33"/>
      <w:bookmarkStart w:id="5" w:name="OLE_LINK12"/>
      <w:bookmarkStart w:id="11" w:name="_GoBack"/>
      <w:bookmarkEnd w:id="11"/>
      <w:r>
        <w:rPr>
          <w:rFonts w:hint="eastAsia" w:ascii="Arial" w:hAnsi="Arial" w:eastAsia="宋体"/>
          <w:b/>
          <w:lang w:eastAsia="ja-JP"/>
        </w:rPr>
        <w:t>3GPP TSG RAN WG1 #</w:t>
      </w:r>
      <w:r>
        <w:rPr>
          <w:rFonts w:hint="eastAsia" w:ascii="Arial" w:hAnsi="Arial" w:eastAsia="宋体"/>
          <w:b/>
        </w:rPr>
        <w:t xml:space="preserve">106b-e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R1-2108882</w:t>
      </w:r>
      <w:r>
        <w:rPr>
          <w:rFonts w:hint="eastAsia" w:ascii="Arial" w:hAnsi="Arial" w:eastAsia="宋体"/>
          <w:b/>
          <w:lang w:eastAsia="ja-JP"/>
        </w:rPr>
        <w:t xml:space="preserve">                                                                     </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ascii="Arial" w:hAnsi="Arial" w:cs="Arial"/>
          <w:b/>
        </w:rPr>
        <w:t xml:space="preserve">e-Meeting, </w:t>
      </w:r>
      <w:r>
        <w:rPr>
          <w:rFonts w:hint="eastAsia" w:ascii="Arial" w:hAnsi="Arial" w:cs="Arial"/>
          <w:b/>
        </w:rPr>
        <w:t>October 11</w:t>
      </w:r>
      <w:r>
        <w:rPr>
          <w:rFonts w:hint="eastAsia" w:ascii="Arial" w:hAnsi="Arial" w:cs="Arial"/>
          <w:b/>
          <w:vertAlign w:val="superscript"/>
        </w:rPr>
        <w:t>th</w:t>
      </w:r>
      <w:r>
        <w:rPr>
          <w:rFonts w:hint="eastAsia" w:ascii="Arial" w:hAnsi="Arial" w:cs="Arial"/>
          <w:b/>
        </w:rPr>
        <w:t xml:space="preserve"> - 19</w:t>
      </w:r>
      <w:r>
        <w:rPr>
          <w:rFonts w:hint="eastAsia" w:ascii="Arial" w:hAnsi="Arial" w:cs="Arial"/>
          <w:b/>
          <w:vertAlign w:val="superscript"/>
        </w:rPr>
        <w:t>th</w:t>
      </w:r>
      <w:r>
        <w:rPr>
          <w:rFonts w:hint="eastAsia" w:ascii="Arial" w:hAnsi="Arial" w:cs="Arial"/>
          <w:b/>
        </w:rPr>
        <w:t>, 2021</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 xml:space="preserve">Title:            Enhancements on </w:t>
      </w:r>
      <w:bookmarkStart w:id="6" w:name="OLE_LINK2"/>
      <w:r>
        <w:rPr>
          <w:rFonts w:hint="eastAsia" w:ascii="Arial" w:hAnsi="Arial" w:eastAsia="宋体"/>
          <w:b/>
        </w:rPr>
        <w:t>NLOS and Multi-path mitigation for NR positioning</w:t>
      </w:r>
    </w:p>
    <w:bookmarkEnd w:id="1"/>
    <w:bookmarkEnd w:id="6"/>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8.5.</w:t>
      </w:r>
      <w:r>
        <w:rPr>
          <w:rFonts w:ascii="Arial" w:hAnsi="Arial" w:eastAsia="宋体"/>
          <w:b/>
        </w:rPr>
        <w:t>5</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The following objective </w:t>
      </w:r>
      <w:r>
        <w:rPr>
          <w:rFonts w:ascii="Times New Roman" w:hAnsi="Times New Roman"/>
          <w:sz w:val="20"/>
          <w:szCs w:val="20"/>
        </w:rPr>
        <w:t>was</w:t>
      </w:r>
      <w:r>
        <w:rPr>
          <w:rFonts w:hint="eastAsia" w:ascii="Times New Roman" w:hAnsi="Times New Roman"/>
          <w:sz w:val="20"/>
          <w:szCs w:val="20"/>
        </w:rPr>
        <w:t xml:space="preserve"> approved </w:t>
      </w:r>
      <w:r>
        <w:rPr>
          <w:rFonts w:ascii="Times New Roman" w:hAnsi="Times New Roman"/>
          <w:sz w:val="20"/>
          <w:szCs w:val="20"/>
        </w:rPr>
        <w:t xml:space="preserve">for </w:t>
      </w:r>
      <w:r>
        <w:rPr>
          <w:rFonts w:hint="eastAsia" w:ascii="Times New Roman" w:hAnsi="Times New Roman"/>
          <w:sz w:val="20"/>
          <w:szCs w:val="20"/>
        </w:rPr>
        <w:t>M</w:t>
      </w:r>
      <w:r>
        <w:rPr>
          <w:rFonts w:ascii="Times New Roman" w:hAnsi="Times New Roman"/>
          <w:sz w:val="20"/>
          <w:szCs w:val="20"/>
        </w:rPr>
        <w:t>ulti</w:t>
      </w:r>
      <w:r>
        <w:rPr>
          <w:rFonts w:hint="eastAsia" w:ascii="Times New Roman" w:hAnsi="Times New Roman"/>
          <w:sz w:val="20"/>
          <w:szCs w:val="20"/>
        </w:rPr>
        <w:t>-</w:t>
      </w:r>
      <w:r>
        <w:rPr>
          <w:rFonts w:ascii="Times New Roman" w:hAnsi="Times New Roman"/>
          <w:sz w:val="20"/>
          <w:szCs w:val="20"/>
        </w:rPr>
        <w:t xml:space="preserve">path/NLOS mitigation </w:t>
      </w:r>
      <w:r>
        <w:rPr>
          <w:rFonts w:hint="eastAsia" w:ascii="Times New Roman" w:hAnsi="Times New Roman"/>
          <w:sz w:val="20"/>
          <w:szCs w:val="20"/>
        </w:rPr>
        <w:t>for</w:t>
      </w:r>
      <w:r>
        <w:rPr>
          <w:rFonts w:ascii="Times New Roman" w:hAnsi="Times New Roman"/>
          <w:sz w:val="20"/>
          <w:szCs w:val="20"/>
        </w:rPr>
        <w:t xml:space="preserve"> Rel-17 NR positioning </w:t>
      </w:r>
      <w:r>
        <w:rPr>
          <w:rFonts w:hint="eastAsia" w:ascii="Times New Roman" w:hAnsi="Times New Roman"/>
          <w:sz w:val="20"/>
          <w:szCs w:val="20"/>
        </w:rPr>
        <w:t>in RAN#91e meeting [2],</w:t>
      </w:r>
    </w:p>
    <w:p>
      <w:pPr>
        <w:numPr>
          <w:ilvl w:val="0"/>
          <w:numId w:val="3"/>
        </w:numPr>
        <w:spacing w:before="180" w:beforeLines="50" w:after="180" w:afterLines="50" w:line="240" w:lineRule="auto"/>
        <w:rPr>
          <w:rFonts w:ascii="Times New Roman" w:hAnsi="Times New Roman" w:eastAsia="宋体"/>
          <w:sz w:val="20"/>
          <w:szCs w:val="20"/>
        </w:rPr>
      </w:pPr>
      <w:r>
        <w:rPr>
          <w:rFonts w:hint="eastAsia" w:ascii="Times New Roman" w:hAnsi="Times New Roman" w:eastAsia="宋体"/>
          <w:sz w:val="20"/>
          <w:szCs w:val="20"/>
        </w:rPr>
        <w:t>Study and specify, if agreed, the enhancements of information reporting from UE and TRP for multipath/NLOS mitigation [RAN1, RAN2, RAN3]</w:t>
      </w:r>
    </w:p>
    <w:p>
      <w:pPr>
        <w:overflowPunct w:val="0"/>
        <w:autoSpaceDE w:val="0"/>
        <w:autoSpaceDN w:val="0"/>
        <w:adjustRightInd w:val="0"/>
        <w:spacing w:before="180" w:beforeLines="50" w:after="180" w:afterLines="50" w:line="240" w:lineRule="auto"/>
        <w:textAlignment w:val="baseline"/>
        <w:rPr>
          <w:rFonts w:ascii="Times New Roman" w:hAnsi="Times New Roman" w:eastAsia="宋体"/>
          <w:sz w:val="20"/>
          <w:szCs w:val="20"/>
        </w:rPr>
      </w:pPr>
      <w:r>
        <w:rPr>
          <w:rFonts w:hint="eastAsia" w:ascii="Times New Roman" w:hAnsi="Times New Roman" w:eastAsia="宋体"/>
          <w:sz w:val="20"/>
          <w:szCs w:val="20"/>
        </w:rPr>
        <w:t>In this contribution, we provide our views</w:t>
      </w:r>
      <w:r>
        <w:rPr>
          <w:rFonts w:ascii="Times New Roman" w:hAnsi="Times New Roman" w:eastAsia="宋体"/>
          <w:sz w:val="20"/>
          <w:szCs w:val="20"/>
        </w:rPr>
        <w:t xml:space="preserve"> on the methods to </w:t>
      </w:r>
      <w:r>
        <w:rPr>
          <w:rFonts w:hint="eastAsia" w:ascii="Times New Roman" w:hAnsi="Times New Roman" w:eastAsia="宋体"/>
          <w:sz w:val="20"/>
          <w:szCs w:val="20"/>
        </w:rPr>
        <w:t>mitigate</w:t>
      </w:r>
      <w:r>
        <w:rPr>
          <w:rFonts w:ascii="Times New Roman" w:hAnsi="Times New Roman" w:eastAsia="宋体"/>
          <w:sz w:val="20"/>
          <w:szCs w:val="20"/>
        </w:rPr>
        <w:t xml:space="preserve"> the impact of NLOS</w:t>
      </w:r>
      <w:r>
        <w:rPr>
          <w:rFonts w:hint="eastAsia" w:ascii="Times New Roman" w:hAnsi="Times New Roman" w:eastAsia="宋体"/>
          <w:sz w:val="20"/>
          <w:szCs w:val="20"/>
        </w:rPr>
        <w:t xml:space="preserve"> and Multi-path.</w:t>
      </w:r>
    </w:p>
    <w:p>
      <w:pPr>
        <w:pStyle w:val="2"/>
        <w:rPr>
          <w:lang w:val="en-US"/>
        </w:rPr>
      </w:pPr>
      <w:r>
        <w:rPr>
          <w:rFonts w:hint="eastAsia"/>
          <w:lang w:val="en-US"/>
        </w:rPr>
        <w:t>NLOS mitigation</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80" w:beforeLines="50" w:after="180" w:afterLines="50" w:line="240" w:lineRule="auto"/>
              <w:rPr>
                <w:rFonts w:ascii="Times New Roman" w:hAnsi="Times New Roman" w:eastAsia="Batang"/>
                <w:b/>
                <w:bCs/>
                <w:sz w:val="20"/>
                <w:szCs w:val="20"/>
                <w:u w:val="single"/>
                <w:lang w:val="en-GB"/>
              </w:rPr>
            </w:pPr>
            <w:r>
              <w:rPr>
                <w:rFonts w:ascii="Times New Roman" w:hAnsi="Times New Roman" w:eastAsia="Batang"/>
                <w:b/>
                <w:bCs/>
                <w:sz w:val="20"/>
                <w:szCs w:val="20"/>
                <w:u w:val="single"/>
                <w:lang w:val="en-GB"/>
              </w:rPr>
              <w:t>Agreement:</w:t>
            </w:r>
          </w:p>
          <w:p>
            <w:pPr>
              <w:numPr>
                <w:ilvl w:val="0"/>
                <w:numId w:val="4"/>
              </w:numPr>
              <w:spacing w:before="180" w:beforeLines="50" w:after="180" w:afterLines="50" w:line="240" w:lineRule="auto"/>
              <w:rPr>
                <w:rFonts w:ascii="Times New Roman" w:hAnsi="Times New Roman" w:eastAsia="Batang"/>
                <w:sz w:val="20"/>
                <w:szCs w:val="20"/>
                <w:lang w:val="en-GB"/>
              </w:rPr>
            </w:pPr>
            <w:r>
              <w:rPr>
                <w:rFonts w:ascii="Times New Roman" w:hAnsi="Times New Roman" w:eastAsia="Batang"/>
                <w:sz w:val="20"/>
                <w:szCs w:val="20"/>
                <w:lang w:val="en-GB"/>
              </w:rPr>
              <w:t xml:space="preserve">Support LoS/NLoS indicators which are reported to the LMF for DL and DL+UL positioning measurements taken at UE for UE-assisted positioning or UL and DL+UL measurements at the TRP for NG-RAN assisted positioning. </w:t>
            </w:r>
          </w:p>
          <w:p>
            <w:pPr>
              <w:numPr>
                <w:ilvl w:val="1"/>
                <w:numId w:val="4"/>
              </w:numPr>
              <w:spacing w:before="180" w:beforeLines="50" w:after="180" w:afterLines="50" w:line="240" w:lineRule="auto"/>
              <w:rPr>
                <w:rFonts w:ascii="Times New Roman" w:hAnsi="Times New Roman" w:eastAsia="Batang"/>
                <w:sz w:val="20"/>
                <w:szCs w:val="20"/>
                <w:lang w:val="en-GB"/>
              </w:rPr>
            </w:pPr>
            <w:r>
              <w:rPr>
                <w:rFonts w:ascii="Times New Roman" w:hAnsi="Times New Roman" w:eastAsia="Batang"/>
                <w:sz w:val="20"/>
                <w:szCs w:val="20"/>
                <w:lang w:val="en-GB"/>
              </w:rPr>
              <w:t>Reporting from UE is subject to UE capability</w:t>
            </w:r>
          </w:p>
          <w:p>
            <w:pPr>
              <w:numPr>
                <w:ilvl w:val="0"/>
                <w:numId w:val="4"/>
              </w:numPr>
              <w:spacing w:before="180" w:beforeLines="50" w:after="180" w:afterLines="50" w:line="240" w:lineRule="auto"/>
              <w:rPr>
                <w:rFonts w:ascii="Times New Roman" w:hAnsi="Times New Roman" w:eastAsia="Batang"/>
                <w:sz w:val="20"/>
                <w:szCs w:val="20"/>
                <w:lang w:val="en-GB"/>
              </w:rPr>
            </w:pPr>
            <w:r>
              <w:rPr>
                <w:rFonts w:ascii="Times New Roman" w:hAnsi="Times New Roman" w:eastAsia="Batang"/>
                <w:sz w:val="20"/>
                <w:szCs w:val="20"/>
                <w:lang w:val="en-GB"/>
              </w:rPr>
              <w:t>Positioning assistance data from LMF is enhanced for UE-based positioning by including LoS/NLoS indicators.</w:t>
            </w:r>
          </w:p>
          <w:p>
            <w:pPr>
              <w:numPr>
                <w:ilvl w:val="0"/>
                <w:numId w:val="4"/>
              </w:numPr>
              <w:spacing w:before="180" w:beforeLines="50" w:after="180" w:afterLines="50" w:line="240" w:lineRule="auto"/>
              <w:rPr>
                <w:rFonts w:ascii="Times New Roman" w:hAnsi="Times New Roman" w:eastAsia="Batang"/>
                <w:sz w:val="20"/>
                <w:szCs w:val="20"/>
                <w:highlight w:val="lightGray"/>
                <w:lang w:val="en-GB"/>
              </w:rPr>
            </w:pPr>
            <w:r>
              <w:rPr>
                <w:rFonts w:ascii="Times New Roman" w:hAnsi="Times New Roman" w:eastAsia="Batang"/>
                <w:sz w:val="20"/>
                <w:szCs w:val="20"/>
                <w:highlight w:val="lightGray"/>
                <w:lang w:val="en-GB"/>
              </w:rPr>
              <w:t>FFS: Other kinds of positioning assistance data enhancements</w:t>
            </w:r>
          </w:p>
          <w:p>
            <w:pPr>
              <w:numPr>
                <w:ilvl w:val="0"/>
                <w:numId w:val="4"/>
              </w:numPr>
              <w:spacing w:before="180" w:beforeLines="50" w:after="180" w:afterLines="50" w:line="240" w:lineRule="auto"/>
              <w:rPr>
                <w:rFonts w:ascii="Times New Roman" w:hAnsi="Times New Roman" w:eastAsia="Batang"/>
                <w:sz w:val="20"/>
                <w:szCs w:val="20"/>
                <w:lang w:val="en-GB"/>
              </w:rPr>
            </w:pPr>
            <w:r>
              <w:rPr>
                <w:rFonts w:ascii="Times New Roman" w:hAnsi="Times New Roman" w:eastAsia="Batang"/>
                <w:sz w:val="20"/>
                <w:szCs w:val="20"/>
                <w:lang w:val="en-GB"/>
              </w:rPr>
              <w:t>For LoS/NLoS detection method(s), there is no additional measurement IEs or assistance data outside of LoS/NloS indicator reporting (i.e., Option 6 from prior agreement).</w:t>
            </w:r>
          </w:p>
          <w:p>
            <w:pPr>
              <w:numPr>
                <w:ilvl w:val="0"/>
                <w:numId w:val="4"/>
              </w:numPr>
              <w:spacing w:before="180" w:beforeLines="50" w:after="180" w:afterLines="50" w:line="240" w:lineRule="auto"/>
              <w:rPr>
                <w:rFonts w:ascii="Times New Roman" w:hAnsi="Times New Roman" w:eastAsia="Batang"/>
                <w:sz w:val="20"/>
                <w:szCs w:val="20"/>
                <w:lang w:val="en-GB"/>
              </w:rPr>
            </w:pPr>
            <w:r>
              <w:rPr>
                <w:rFonts w:ascii="Times New Roman" w:hAnsi="Times New Roman" w:eastAsia="Batang"/>
                <w:sz w:val="20"/>
                <w:szCs w:val="20"/>
                <w:lang w:val="en-GB"/>
              </w:rPr>
              <w:t>Note 1: No RAN4 requirements are expected for the LoS/NLoS indicators in RAN1’s understanding</w:t>
            </w:r>
          </w:p>
          <w:p>
            <w:pPr>
              <w:numPr>
                <w:ilvl w:val="0"/>
                <w:numId w:val="4"/>
              </w:numPr>
              <w:spacing w:before="180" w:beforeLines="50" w:after="180" w:afterLines="50" w:line="240" w:lineRule="auto"/>
              <w:rPr>
                <w:rFonts w:ascii="Times New Roman" w:hAnsi="Times New Roman" w:eastAsia="Batang"/>
                <w:sz w:val="20"/>
                <w:szCs w:val="20"/>
                <w:lang w:val="en-GB"/>
              </w:rPr>
            </w:pPr>
            <w:r>
              <w:rPr>
                <w:rFonts w:ascii="Times New Roman" w:hAnsi="Times New Roman" w:eastAsia="Batang"/>
                <w:sz w:val="20"/>
                <w:szCs w:val="20"/>
                <w:lang w:val="en-GB"/>
              </w:rPr>
              <w:t>Note 2: LoS/NLoS indicators can be complementary to outlier rejection algorithms.</w:t>
            </w:r>
          </w:p>
          <w:p>
            <w:pPr>
              <w:spacing w:before="180" w:beforeLines="50" w:after="180" w:afterLines="50" w:line="240" w:lineRule="auto"/>
              <w:rPr>
                <w:rFonts w:ascii="Times New Roman" w:hAnsi="Times New Roman" w:eastAsia="Batang"/>
                <w:b/>
                <w:bCs/>
                <w:sz w:val="20"/>
                <w:szCs w:val="20"/>
                <w:u w:val="single"/>
              </w:rPr>
            </w:pPr>
            <w:bookmarkStart w:id="7" w:name="_Hlk80976305"/>
            <w:r>
              <w:rPr>
                <w:rFonts w:ascii="Times New Roman" w:hAnsi="Times New Roman" w:eastAsia="Batang"/>
                <w:b/>
                <w:bCs/>
                <w:sz w:val="20"/>
                <w:szCs w:val="20"/>
                <w:u w:val="single"/>
              </w:rPr>
              <w:t>Agreement:</w:t>
            </w:r>
          </w:p>
          <w:p>
            <w:pPr>
              <w:spacing w:before="180" w:beforeLines="50" w:after="180" w:afterLines="50" w:line="240" w:lineRule="auto"/>
              <w:rPr>
                <w:rFonts w:ascii="Times New Roman" w:hAnsi="Times New Roman" w:eastAsia="Batang"/>
                <w:sz w:val="20"/>
                <w:szCs w:val="20"/>
              </w:rPr>
            </w:pPr>
            <w:r>
              <w:rPr>
                <w:rFonts w:ascii="Times New Roman" w:hAnsi="Times New Roman" w:eastAsia="Batang"/>
                <w:sz w:val="20"/>
                <w:szCs w:val="20"/>
              </w:rPr>
              <w:t xml:space="preserve">For LoS/NLoS indicators, a single-indicator can be reported and the supported values are a discrete set in the interval [0, 1]. </w:t>
            </w:r>
          </w:p>
          <w:p>
            <w:pPr>
              <w:numPr>
                <w:ilvl w:val="0"/>
                <w:numId w:val="5"/>
              </w:numPr>
              <w:overflowPunct w:val="0"/>
              <w:autoSpaceDE w:val="0"/>
              <w:autoSpaceDN w:val="0"/>
              <w:adjustRightInd w:val="0"/>
              <w:spacing w:before="180" w:beforeLines="50" w:after="180" w:afterLines="50"/>
              <w:contextualSpacing/>
              <w:textAlignment w:val="baseline"/>
              <w:rPr>
                <w:rFonts w:ascii="Times New Roman" w:hAnsi="Times New Roman" w:eastAsia="宋体"/>
                <w:sz w:val="20"/>
                <w:szCs w:val="20"/>
                <w:highlight w:val="lightGray"/>
                <w:lang w:eastAsia="ja-JP"/>
              </w:rPr>
            </w:pPr>
            <w:r>
              <w:rPr>
                <w:rFonts w:ascii="Times New Roman" w:hAnsi="Times New Roman" w:eastAsia="宋体"/>
                <w:sz w:val="20"/>
                <w:szCs w:val="20"/>
                <w:highlight w:val="lightGray"/>
                <w:lang w:eastAsia="ja-JP"/>
              </w:rPr>
              <w:t>FFS: the number of discrete values to be supported</w:t>
            </w:r>
          </w:p>
          <w:p>
            <w:pPr>
              <w:numPr>
                <w:ilvl w:val="0"/>
                <w:numId w:val="5"/>
              </w:numPr>
              <w:overflowPunct w:val="0"/>
              <w:autoSpaceDE w:val="0"/>
              <w:autoSpaceDN w:val="0"/>
              <w:adjustRightInd w:val="0"/>
              <w:spacing w:before="180" w:beforeLines="50" w:after="180" w:afterLines="50"/>
              <w:contextualSpacing/>
              <w:textAlignment w:val="baseline"/>
              <w:rPr>
                <w:rFonts w:ascii="Times New Roman" w:hAnsi="Times New Roman" w:eastAsia="宋体"/>
                <w:sz w:val="20"/>
                <w:szCs w:val="20"/>
                <w:lang w:eastAsia="ja-JP"/>
              </w:rPr>
            </w:pPr>
            <w:r>
              <w:rPr>
                <w:rFonts w:ascii="Times New Roman" w:hAnsi="Times New Roman" w:eastAsia="宋体"/>
                <w:sz w:val="20"/>
                <w:szCs w:val="20"/>
                <w:lang w:eastAsia="ja-JP"/>
              </w:rPr>
              <w:t>Note: This does not preclude using binary values only which is up to UE/TRP implementation</w:t>
            </w:r>
          </w:p>
          <w:p>
            <w:pPr>
              <w:numPr>
                <w:ilvl w:val="0"/>
                <w:numId w:val="5"/>
              </w:numPr>
              <w:overflowPunct w:val="0"/>
              <w:autoSpaceDE w:val="0"/>
              <w:autoSpaceDN w:val="0"/>
              <w:adjustRightInd w:val="0"/>
              <w:spacing w:before="180" w:beforeLines="50" w:after="180" w:afterLines="50"/>
              <w:contextualSpacing/>
              <w:textAlignment w:val="baseline"/>
            </w:pPr>
            <w:r>
              <w:rPr>
                <w:rFonts w:ascii="Times New Roman" w:hAnsi="Times New Roman" w:eastAsia="宋体"/>
                <w:sz w:val="20"/>
                <w:szCs w:val="20"/>
                <w:lang w:eastAsia="ja-JP"/>
              </w:rPr>
              <w:t>Note: Single-indicator means that one value in the interval [0, 1] is used for the LoS/NLoS indication</w:t>
            </w:r>
            <w:bookmarkEnd w:id="7"/>
          </w:p>
        </w:tc>
      </w:tr>
    </w:tbl>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The above two agreements were approved in last meeting to specify the LoS/NLoS indicators. </w:t>
      </w:r>
      <w:r>
        <w:rPr>
          <w:rFonts w:ascii="Times New Roman" w:hAnsi="Times New Roman"/>
          <w:sz w:val="20"/>
          <w:szCs w:val="20"/>
        </w:rPr>
        <w:t xml:space="preserve">In </w:t>
      </w:r>
      <w:r>
        <w:rPr>
          <w:rFonts w:hint="eastAsia" w:ascii="Times New Roman" w:hAnsi="Times New Roman"/>
          <w:sz w:val="20"/>
          <w:szCs w:val="20"/>
        </w:rPr>
        <w:t>this section, we provide our views on some remaining issues.</w:t>
      </w:r>
    </w:p>
    <w:p>
      <w:pPr>
        <w:adjustRightInd w:val="0"/>
        <w:snapToGrid w:val="0"/>
        <w:spacing w:before="180" w:beforeLines="50" w:after="180" w:afterLines="50" w:line="240" w:lineRule="auto"/>
        <w:jc w:val="both"/>
        <w:rPr>
          <w:rFonts w:ascii="Times New Roman" w:hAnsi="Times New Roman"/>
          <w:b/>
          <w:bCs/>
          <w:sz w:val="20"/>
          <w:szCs w:val="20"/>
          <w:u w:val="single"/>
        </w:rPr>
      </w:pPr>
      <w:r>
        <w:rPr>
          <w:rFonts w:hint="eastAsia" w:ascii="Times New Roman" w:hAnsi="Times New Roman"/>
          <w:b/>
          <w:bCs/>
          <w:sz w:val="20"/>
          <w:szCs w:val="20"/>
          <w:u w:val="single"/>
        </w:rPr>
        <w:t>P</w:t>
      </w:r>
      <w:r>
        <w:rPr>
          <w:rFonts w:ascii="Times New Roman" w:hAnsi="Times New Roman"/>
          <w:b/>
          <w:bCs/>
          <w:sz w:val="20"/>
          <w:szCs w:val="20"/>
          <w:u w:val="single"/>
        </w:rPr>
        <w:t>ositioning assistance data enhancements</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 LoS/NLoS indicator means UE/gNB has to scale or normalize the measurement results locally into a value between 0 and 1, which presupposes that the measurement result follows a linear distribution</w:t>
      </w:r>
      <w:r>
        <w:rPr>
          <w:rFonts w:ascii="Times New Roman" w:hAnsi="Times New Roman"/>
          <w:sz w:val="20"/>
          <w:szCs w:val="20"/>
        </w:rPr>
        <w:t xml:space="preserve"> </w:t>
      </w:r>
      <w:r>
        <w:rPr>
          <w:rFonts w:hint="eastAsia" w:ascii="Times New Roman" w:hAnsi="Times New Roman"/>
          <w:sz w:val="20"/>
          <w:szCs w:val="20"/>
          <w:lang w:val="en-US" w:eastAsia="zh-CN"/>
        </w:rPr>
        <w:t>since UE cannot</w:t>
      </w:r>
      <w:r>
        <w:rPr>
          <w:rFonts w:ascii="Times New Roman" w:hAnsi="Times New Roman"/>
          <w:sz w:val="20"/>
          <w:szCs w:val="20"/>
        </w:rPr>
        <w:t xml:space="preserve"> derive more detailed channel parameter distribution property</w:t>
      </w:r>
      <w:r>
        <w:rPr>
          <w:rFonts w:hint="eastAsia" w:ascii="Times New Roman" w:hAnsi="Times New Roman"/>
          <w:sz w:val="20"/>
          <w:szCs w:val="20"/>
        </w:rPr>
        <w:t>. This kind of reporting also means the largest measurement result among different links may always be indicated as value 1. This is</w:t>
      </w:r>
      <w:r>
        <w:rPr>
          <w:rFonts w:hint="eastAsia" w:ascii="Times New Roman" w:hAnsi="Times New Roman"/>
          <w:b/>
          <w:bCs/>
          <w:sz w:val="20"/>
          <w:szCs w:val="20"/>
        </w:rPr>
        <w:t xml:space="preserve"> NOT TRUE</w:t>
      </w:r>
      <w:r>
        <w:rPr>
          <w:rFonts w:hint="eastAsia" w:ascii="Times New Roman" w:hAnsi="Times New Roman"/>
          <w:sz w:val="20"/>
          <w:szCs w:val="20"/>
        </w:rPr>
        <w:t xml:space="preserve">! Some of channel parameters, for example Ricean K-factor (or delay spread), as shown in the Figure 1 below, which actually </w:t>
      </w:r>
      <w:r>
        <w:rPr>
          <w:rFonts w:ascii="Times New Roman" w:hAnsi="Times New Roman"/>
          <w:sz w:val="20"/>
          <w:szCs w:val="20"/>
        </w:rPr>
        <w:t>subjects</w:t>
      </w:r>
      <w:r>
        <w:rPr>
          <w:rFonts w:hint="eastAsia" w:ascii="Times New Roman" w:hAnsi="Times New Roman"/>
          <w:sz w:val="20"/>
          <w:szCs w:val="20"/>
        </w:rPr>
        <w:t xml:space="preserve"> to a normal distribution.</w:t>
      </w:r>
      <w:r>
        <w:rPr>
          <w:rFonts w:ascii="Times New Roman" w:hAnsi="Times New Roman"/>
          <w:sz w:val="20"/>
          <w:szCs w:val="20"/>
        </w:rPr>
        <w:t xml:space="preserve"> </w:t>
      </w:r>
      <w:r>
        <w:rPr>
          <w:rFonts w:hint="eastAsia" w:ascii="Times New Roman" w:hAnsi="Times New Roman"/>
          <w:sz w:val="20"/>
          <w:szCs w:val="20"/>
          <w:lang w:val="en-US" w:eastAsia="zh-CN"/>
        </w:rPr>
        <w:t>F</w:t>
      </w:r>
      <w:r>
        <w:rPr>
          <w:rFonts w:ascii="Times New Roman" w:hAnsi="Times New Roman"/>
          <w:sz w:val="20"/>
          <w:szCs w:val="20"/>
        </w:rPr>
        <w:t>or such non-linear distribution</w:t>
      </w:r>
      <w:r>
        <w:rPr>
          <w:rFonts w:hint="eastAsia" w:ascii="Times New Roman" w:hAnsi="Times New Roman"/>
          <w:sz w:val="20"/>
          <w:szCs w:val="20"/>
          <w:lang w:val="en-US" w:eastAsia="zh-CN"/>
        </w:rPr>
        <w:t>,</w:t>
      </w:r>
      <w:r>
        <w:rPr>
          <w:rFonts w:ascii="Times New Roman" w:hAnsi="Times New Roman"/>
          <w:sz w:val="20"/>
          <w:szCs w:val="20"/>
        </w:rPr>
        <w:t xml:space="preserve">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w:t>
      </w:r>
      <w:r>
        <w:rPr>
          <w:rFonts w:ascii="Times New Roman" w:hAnsi="Times New Roman"/>
          <w:sz w:val="20"/>
          <w:szCs w:val="20"/>
        </w:rPr>
        <w:t xml:space="preserve"> impossible for the UE to derive </w:t>
      </w:r>
      <w:r>
        <w:rPr>
          <w:rFonts w:hint="eastAsia" w:ascii="Times New Roman" w:hAnsi="Times New Roman"/>
          <w:sz w:val="20"/>
          <w:szCs w:val="20"/>
          <w:lang w:val="en-US" w:eastAsia="zh-CN"/>
        </w:rPr>
        <w:t>an indicator within [0, 1]</w:t>
      </w:r>
      <w:r>
        <w:rPr>
          <w:rFonts w:ascii="Times New Roman" w:hAnsi="Times New Roman"/>
          <w:sz w:val="20"/>
          <w:szCs w:val="20"/>
        </w:rPr>
        <w:t>, which may limit the possibility to achieve better performance based on proper implementation.</w:t>
      </w:r>
      <w:r>
        <w:rPr>
          <w:rFonts w:hint="eastAsia" w:ascii="Times New Roman" w:hAnsi="Times New Roman"/>
          <w:sz w:val="20"/>
          <w:szCs w:val="20"/>
        </w:rPr>
        <w:t xml:space="preserve"> Since LMF is responsible for the location services, LMF can collect a bunch of measurement results from a mass of UEs. Therefore, it</w:t>
      </w:r>
      <w:r>
        <w:rPr>
          <w:rFonts w:ascii="Times New Roman" w:hAnsi="Times New Roman"/>
          <w:sz w:val="20"/>
          <w:szCs w:val="20"/>
        </w:rPr>
        <w:t>’</w:t>
      </w:r>
      <w:r>
        <w:rPr>
          <w:rFonts w:hint="eastAsia" w:ascii="Times New Roman" w:hAnsi="Times New Roman"/>
          <w:sz w:val="20"/>
          <w:szCs w:val="20"/>
        </w:rPr>
        <w:t>s reasonable that LMF may have some priori information of the channel (e.g. the distribution of channel statistics), which can facilitate the LOS determination for UE.</w:t>
      </w:r>
    </w:p>
    <w:p>
      <w:pPr>
        <w:adjustRightInd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drawing>
          <wp:inline distT="0" distB="0" distL="114300" distR="114300">
            <wp:extent cx="2791460" cy="2092325"/>
            <wp:effectExtent l="0" t="0" r="2540" b="317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5" cstate="print"/>
                    <a:stretch>
                      <a:fillRect/>
                    </a:stretch>
                  </pic:blipFill>
                  <pic:spPr>
                    <a:xfrm>
                      <a:off x="0" y="0"/>
                      <a:ext cx="2791460" cy="2092325"/>
                    </a:xfrm>
                    <a:prstGeom prst="rect">
                      <a:avLst/>
                    </a:prstGeom>
                    <a:noFill/>
                    <a:ln>
                      <a:noFill/>
                    </a:ln>
                  </pic:spPr>
                </pic:pic>
              </a:graphicData>
            </a:graphic>
          </wp:inline>
        </w:drawing>
      </w:r>
    </w:p>
    <w:p>
      <w:pPr>
        <w:adjustRightInd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1 PDF of Ricean K-factor for LOS and NLOS links</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addition, we think the prior channel statistics could be useful for both UE-based and UE-assisted positioning. </w:t>
      </w:r>
    </w:p>
    <w:p>
      <w:pPr>
        <w:pStyle w:val="97"/>
        <w:numPr>
          <w:ilvl w:val="0"/>
          <w:numId w:val="6"/>
        </w:numPr>
        <w:adjustRightInd w:val="0"/>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F</w:t>
      </w:r>
      <w:r>
        <w:rPr>
          <w:rFonts w:hint="eastAsia" w:ascii="Times New Roman" w:hAnsi="Times New Roman"/>
          <w:sz w:val="20"/>
          <w:szCs w:val="20"/>
        </w:rPr>
        <w:t>or UE-assisted positioning, LMF can provide the distribution of Ricean K-factor of the scenario to UE. UE may get a measured Rciean K-factor locally based on the measurement of one link (or reference signal). As discussed in last meeting, most companies didn</w:t>
      </w:r>
      <w:r>
        <w:rPr>
          <w:rFonts w:ascii="Times New Roman" w:hAnsi="Times New Roman"/>
          <w:sz w:val="20"/>
          <w:szCs w:val="20"/>
        </w:rPr>
        <w:t>’</w:t>
      </w:r>
      <w:r>
        <w:rPr>
          <w:rFonts w:hint="eastAsia" w:ascii="Times New Roman" w:hAnsi="Times New Roman"/>
          <w:sz w:val="20"/>
          <w:szCs w:val="20"/>
        </w:rPr>
        <w:t xml:space="preserve">t agree to report the measured results (e.g. Rciean K-factor) from UE. It would be a problem that how UE can derive the LoS/NLoS indicator. From our point </w:t>
      </w:r>
      <w:r>
        <w:rPr>
          <w:rFonts w:ascii="Times New Roman" w:hAnsi="Times New Roman"/>
          <w:sz w:val="20"/>
          <w:szCs w:val="20"/>
        </w:rPr>
        <w:t>of</w:t>
      </w:r>
      <w:r>
        <w:rPr>
          <w:rFonts w:hint="eastAsia" w:ascii="Times New Roman" w:hAnsi="Times New Roman"/>
          <w:sz w:val="20"/>
          <w:szCs w:val="20"/>
        </w:rPr>
        <w:t xml:space="preserve"> view, UE can map the measured Ri</w:t>
      </w:r>
      <w:r>
        <w:rPr>
          <w:rFonts w:ascii="Times New Roman" w:hAnsi="Times New Roman"/>
          <w:sz w:val="20"/>
          <w:szCs w:val="20"/>
        </w:rPr>
        <w:t>c</w:t>
      </w:r>
      <w:r>
        <w:rPr>
          <w:rFonts w:hint="eastAsia" w:ascii="Times New Roman" w:hAnsi="Times New Roman"/>
          <w:sz w:val="20"/>
          <w:szCs w:val="20"/>
        </w:rPr>
        <w:t>ean K-factor into confidence level (i.e. LoS/NLoS indicator) according to the distribution of Ricean K-factor of the scenario. This doesn</w:t>
      </w:r>
      <w:r>
        <w:rPr>
          <w:rFonts w:ascii="Times New Roman" w:hAnsi="Times New Roman"/>
          <w:sz w:val="20"/>
          <w:szCs w:val="20"/>
        </w:rPr>
        <w:t>’</w:t>
      </w:r>
      <w:r>
        <w:rPr>
          <w:rFonts w:hint="eastAsia" w:ascii="Times New Roman" w:hAnsi="Times New Roman"/>
          <w:sz w:val="20"/>
          <w:szCs w:val="20"/>
        </w:rPr>
        <w:t>t mandate UE to measure the Ricean K-factor. It</w:t>
      </w:r>
      <w:r>
        <w:rPr>
          <w:rFonts w:ascii="Times New Roman" w:hAnsi="Times New Roman"/>
          <w:sz w:val="20"/>
          <w:szCs w:val="20"/>
        </w:rPr>
        <w:t>’</w:t>
      </w:r>
      <w:r>
        <w:rPr>
          <w:rFonts w:hint="eastAsia" w:ascii="Times New Roman" w:hAnsi="Times New Roman"/>
          <w:sz w:val="20"/>
          <w:szCs w:val="20"/>
        </w:rPr>
        <w:t xml:space="preserve">s still up to UE on how to use the prior channel statistics. The prior channel statistics can help UE to derive the reported </w:t>
      </w:r>
      <w:bookmarkStart w:id="8" w:name="OLE_LINK1"/>
      <w:r>
        <w:rPr>
          <w:rFonts w:hint="eastAsia" w:ascii="Times New Roman" w:hAnsi="Times New Roman"/>
          <w:sz w:val="20"/>
          <w:szCs w:val="20"/>
        </w:rPr>
        <w:t>LoS/NLoS indicator</w:t>
      </w:r>
      <w:bookmarkEnd w:id="8"/>
      <w:r>
        <w:rPr>
          <w:rFonts w:hint="eastAsia" w:ascii="Times New Roman" w:hAnsi="Times New Roman"/>
          <w:sz w:val="20"/>
          <w:szCs w:val="20"/>
        </w:rPr>
        <w:t xml:space="preserve">s. </w:t>
      </w:r>
    </w:p>
    <w:p>
      <w:pPr>
        <w:pStyle w:val="97"/>
        <w:numPr>
          <w:ilvl w:val="0"/>
          <w:numId w:val="6"/>
        </w:numPr>
        <w:adjustRightInd w:val="0"/>
        <w:snapToGrid w:val="0"/>
        <w:spacing w:before="180" w:beforeLines="50" w:after="180" w:afterLines="50" w:line="240" w:lineRule="auto"/>
        <w:ind w:leftChars="0"/>
        <w:jc w:val="both"/>
        <w:rPr>
          <w:rFonts w:ascii="Times New Roman" w:hAnsi="Times New Roman"/>
          <w:sz w:val="20"/>
          <w:szCs w:val="20"/>
        </w:rPr>
      </w:pPr>
      <w:r>
        <w:rPr>
          <w:rFonts w:hint="eastAsia" w:ascii="Times New Roman" w:hAnsi="Times New Roman"/>
          <w:sz w:val="20"/>
          <w:szCs w:val="20"/>
        </w:rPr>
        <w:t xml:space="preserve">For UE-based positioning, first of all, the LoS/NLoS indicator in positioning assistance data that we have agreed belongs to one of the prior channel statistics. However, only providing LoS/NLoS indicator in positioning assistance data maybe quite limited in some cases when </w:t>
      </w:r>
      <w:r>
        <w:rPr>
          <w:rFonts w:ascii="Times New Roman" w:hAnsi="Times New Roman"/>
          <w:sz w:val="20"/>
          <w:szCs w:val="20"/>
        </w:rPr>
        <w:t>the</w:t>
      </w:r>
      <w:r>
        <w:rPr>
          <w:rFonts w:hint="eastAsia" w:ascii="Times New Roman" w:hAnsi="Times New Roman"/>
          <w:sz w:val="20"/>
          <w:szCs w:val="20"/>
        </w:rPr>
        <w:t xml:space="preserve"> channel </w:t>
      </w:r>
      <w:r>
        <w:rPr>
          <w:rFonts w:ascii="Times New Roman" w:hAnsi="Times New Roman"/>
          <w:sz w:val="20"/>
          <w:szCs w:val="20"/>
        </w:rPr>
        <w:t>is</w:t>
      </w:r>
      <w:r>
        <w:rPr>
          <w:rFonts w:hint="eastAsia" w:ascii="Times New Roman" w:hAnsi="Times New Roman"/>
          <w:sz w:val="20"/>
          <w:szCs w:val="20"/>
        </w:rPr>
        <w:t xml:space="preserve"> </w:t>
      </w:r>
      <w:r>
        <w:rPr>
          <w:rFonts w:ascii="Times New Roman" w:hAnsi="Times New Roman"/>
          <w:sz w:val="20"/>
          <w:szCs w:val="20"/>
        </w:rPr>
        <w:t>dynamically time-varying</w:t>
      </w:r>
      <w:r>
        <w:rPr>
          <w:rFonts w:hint="eastAsia" w:ascii="Times New Roman" w:hAnsi="Times New Roman"/>
          <w:sz w:val="20"/>
          <w:szCs w:val="20"/>
        </w:rPr>
        <w:t xml:space="preserve">. </w:t>
      </w:r>
      <w:r>
        <w:rPr>
          <w:rFonts w:ascii="Times New Roman" w:hAnsi="Times New Roman"/>
          <w:sz w:val="20"/>
          <w:szCs w:val="20"/>
        </w:rPr>
        <w:t>I</w:t>
      </w:r>
      <w:r>
        <w:rPr>
          <w:rFonts w:hint="eastAsia" w:ascii="Times New Roman" w:hAnsi="Times New Roman"/>
          <w:sz w:val="20"/>
          <w:szCs w:val="20"/>
        </w:rPr>
        <w:t xml:space="preserve">t would also be helpful for LMF to provide other kinds of prior channel statistics, e.g. distribution of Ricean K-factor of the scenario. Similar to UE-assisted positioning discussed above, this information may help UE to decide which link is a LoS/NLoS link when conducting location computation. </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Regarding the specification impacts to provide prior channel statistics, the distribution of Ricean K-factor as mentioned in T</w:t>
      </w:r>
      <w:r>
        <w:rPr>
          <w:rFonts w:ascii="Times New Roman" w:hAnsi="Times New Roman"/>
          <w:sz w:val="20"/>
          <w:szCs w:val="20"/>
        </w:rPr>
        <w:t>R</w:t>
      </w:r>
      <w:r>
        <w:rPr>
          <w:rFonts w:hint="eastAsia" w:ascii="Times New Roman" w:hAnsi="Times New Roman"/>
          <w:sz w:val="20"/>
          <w:szCs w:val="20"/>
        </w:rPr>
        <w:t xml:space="preserve"> 38.901 including the mean value of Ricean K-factor and the standard deviation of Ricean K-factor can be provided in assistance data.</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Observation 1:</w:t>
      </w:r>
      <w:r>
        <w:rPr>
          <w:rFonts w:hint="eastAsia" w:ascii="Times New Roman" w:hAnsi="Times New Roman"/>
          <w:i/>
          <w:iCs/>
          <w:sz w:val="20"/>
          <w:szCs w:val="20"/>
        </w:rPr>
        <w:t>The prior channel statistics provided in assistance data can facilitate UE to determine the confidence of LOS links for both UE-based and UE-assisted positioning.</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1: </w:t>
      </w:r>
      <w:r>
        <w:rPr>
          <w:rFonts w:hint="eastAsia" w:ascii="Times New Roman" w:hAnsi="Times New Roman"/>
          <w:i/>
          <w:iCs/>
          <w:sz w:val="20"/>
          <w:szCs w:val="20"/>
        </w:rPr>
        <w:t>Support LMF to provide the priori channel statistics in positioning assistance data, at least considering the distribution of Ricean K-factor and/or the distribution of delay spread.</w:t>
      </w:r>
    </w:p>
    <w:p>
      <w:pPr>
        <w:adjustRightInd w:val="0"/>
        <w:snapToGrid w:val="0"/>
        <w:spacing w:before="180" w:beforeLines="50" w:after="180" w:afterLines="50" w:line="240" w:lineRule="auto"/>
        <w:jc w:val="both"/>
        <w:rPr>
          <w:rFonts w:ascii="Times New Roman" w:hAnsi="Times New Roman" w:eastAsia="Batang"/>
          <w:b/>
          <w:bCs/>
          <w:sz w:val="20"/>
          <w:szCs w:val="24"/>
          <w:u w:val="single"/>
        </w:rPr>
      </w:pPr>
      <w:r>
        <w:rPr>
          <w:rFonts w:hint="eastAsia" w:ascii="Times New Roman" w:hAnsi="Times New Roman"/>
          <w:b/>
          <w:bCs/>
          <w:sz w:val="20"/>
          <w:szCs w:val="20"/>
          <w:u w:val="single"/>
        </w:rPr>
        <w:t xml:space="preserve">Details on the reporting of </w:t>
      </w:r>
      <w:r>
        <w:rPr>
          <w:rFonts w:ascii="Times New Roman" w:hAnsi="Times New Roman" w:eastAsia="Batang"/>
          <w:b/>
          <w:bCs/>
          <w:sz w:val="20"/>
          <w:szCs w:val="24"/>
          <w:u w:val="single"/>
        </w:rPr>
        <w:t>LoS/NLoS indicators</w:t>
      </w:r>
    </w:p>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Batang"/>
          <w:sz w:val="20"/>
          <w:szCs w:val="24"/>
        </w:rPr>
        <w:t>Several companies only supported</w:t>
      </w:r>
      <w:r>
        <w:rPr>
          <w:rFonts w:hint="eastAsia" w:ascii="Times New Roman" w:hAnsi="Times New Roman" w:eastAsia="宋体"/>
          <w:sz w:val="20"/>
          <w:szCs w:val="20"/>
        </w:rPr>
        <w:t xml:space="preserve"> to report</w:t>
      </w:r>
      <w:r>
        <w:rPr>
          <w:rFonts w:hint="eastAsia" w:ascii="Times New Roman" w:hAnsi="Times New Roman" w:eastAsia="Batang"/>
          <w:sz w:val="20"/>
          <w:szCs w:val="24"/>
        </w:rPr>
        <w:t xml:space="preserve"> </w:t>
      </w:r>
      <w:r>
        <w:rPr>
          <w:rFonts w:ascii="Times New Roman" w:hAnsi="Times New Roman" w:eastAsia="宋体"/>
          <w:sz w:val="20"/>
          <w:szCs w:val="20"/>
          <w:lang w:eastAsia="ja-JP"/>
        </w:rPr>
        <w:t>binary values</w:t>
      </w:r>
      <w:r>
        <w:rPr>
          <w:rFonts w:hint="eastAsia" w:ascii="Times New Roman" w:hAnsi="Times New Roman" w:eastAsia="宋体"/>
          <w:sz w:val="20"/>
          <w:szCs w:val="20"/>
        </w:rPr>
        <w:t xml:space="preserve"> (i,.e. hard decision) the LoS/NLoS indicator. This is not a good choice since UE may not have the full confidence to declare that a link is LoS or NLoS. Therefore, a soft value is preferred to provide some kinds of confidence levels for different links. A granularity of 0.1 within the </w:t>
      </w:r>
      <w:r>
        <w:rPr>
          <w:rFonts w:ascii="Times New Roman" w:hAnsi="Times New Roman" w:eastAsia="宋体"/>
          <w:sz w:val="20"/>
          <w:szCs w:val="20"/>
          <w:lang w:eastAsia="ja-JP"/>
        </w:rPr>
        <w:t xml:space="preserve">interval [0, 1] </w:t>
      </w:r>
      <w:r>
        <w:rPr>
          <w:rFonts w:hint="eastAsia" w:ascii="Times New Roman" w:hAnsi="Times New Roman" w:eastAsia="宋体"/>
          <w:sz w:val="20"/>
          <w:szCs w:val="20"/>
        </w:rPr>
        <w:t xml:space="preserve">would be enough for different use cases. </w:t>
      </w:r>
    </w:p>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Another pending issue is how to report the LoS/NLoS indicators. In our understanding, each LoS/NLoS indicator should correspond to a link (or a channel experienced by a reference signal). Therefore, all measurement results associated with the same reference signal should be provided with a single LoS/NLoS indicator. In addition, w</w:t>
      </w:r>
      <w:r>
        <w:rPr>
          <w:rFonts w:hint="eastAsia" w:ascii="Times New Roman" w:hAnsi="Times New Roman" w:eastAsia="Batang"/>
          <w:sz w:val="20"/>
          <w:szCs w:val="24"/>
        </w:rPr>
        <w:t xml:space="preserve">e have agreed that SRS resource ID can be provided to LMF for UL measurement results. </w:t>
      </w:r>
      <w:r>
        <w:rPr>
          <w:rFonts w:ascii="Times New Roman" w:hAnsi="Times New Roman" w:eastAsia="Batang"/>
          <w:sz w:val="20"/>
          <w:szCs w:val="24"/>
        </w:rPr>
        <w:t>Therefore</w:t>
      </w:r>
      <w:r>
        <w:rPr>
          <w:rFonts w:hint="eastAsia" w:ascii="Times New Roman" w:hAnsi="Times New Roman" w:eastAsia="Batang"/>
          <w:sz w:val="20"/>
          <w:szCs w:val="24"/>
        </w:rPr>
        <w:t xml:space="preserve">, a </w:t>
      </w:r>
      <w:r>
        <w:rPr>
          <w:rFonts w:hint="eastAsia" w:ascii="Times New Roman" w:hAnsi="Times New Roman" w:eastAsia="宋体"/>
          <w:sz w:val="20"/>
          <w:szCs w:val="20"/>
        </w:rPr>
        <w:t>LoS/NLoS indicator from UE should be associated with a DL PRS resource</w:t>
      </w:r>
      <w:r>
        <w:rPr>
          <w:rFonts w:ascii="Times New Roman" w:hAnsi="Times New Roman" w:eastAsia="宋体"/>
          <w:sz w:val="20"/>
          <w:szCs w:val="20"/>
        </w:rPr>
        <w:t>,</w:t>
      </w:r>
      <w:r>
        <w:rPr>
          <w:rFonts w:hint="eastAsia" w:ascii="Times New Roman" w:hAnsi="Times New Roman" w:eastAsia="宋体"/>
          <w:sz w:val="20"/>
          <w:szCs w:val="20"/>
        </w:rPr>
        <w:t xml:space="preserve"> and </w:t>
      </w:r>
      <w:r>
        <w:rPr>
          <w:rFonts w:ascii="Times New Roman" w:hAnsi="Times New Roman" w:eastAsia="宋体"/>
          <w:sz w:val="20"/>
          <w:szCs w:val="20"/>
        </w:rPr>
        <w:t xml:space="preserve">a </w:t>
      </w:r>
      <w:r>
        <w:rPr>
          <w:rFonts w:hint="eastAsia" w:ascii="Times New Roman" w:hAnsi="Times New Roman" w:eastAsia="宋体"/>
          <w:sz w:val="20"/>
          <w:szCs w:val="20"/>
        </w:rPr>
        <w:t xml:space="preserve">LoS/NLoS indicator from </w:t>
      </w:r>
      <w:r>
        <w:rPr>
          <w:rFonts w:ascii="Times New Roman" w:hAnsi="Times New Roman" w:eastAsia="宋体"/>
          <w:sz w:val="20"/>
          <w:szCs w:val="20"/>
        </w:rPr>
        <w:t>gNB</w:t>
      </w:r>
      <w:r>
        <w:rPr>
          <w:rFonts w:hint="eastAsia" w:ascii="Times New Roman" w:hAnsi="Times New Roman" w:eastAsia="宋体"/>
          <w:sz w:val="20"/>
          <w:szCs w:val="20"/>
        </w:rPr>
        <w:t xml:space="preserve"> should be associated with a</w:t>
      </w:r>
      <w:r>
        <w:rPr>
          <w:rFonts w:ascii="Times New Roman" w:hAnsi="Times New Roman" w:eastAsia="宋体"/>
          <w:sz w:val="20"/>
          <w:szCs w:val="20"/>
        </w:rPr>
        <w:t>n</w:t>
      </w:r>
      <w:r>
        <w:rPr>
          <w:rFonts w:hint="eastAsia" w:ascii="Times New Roman" w:hAnsi="Times New Roman" w:eastAsia="宋体"/>
          <w:sz w:val="20"/>
          <w:szCs w:val="20"/>
        </w:rPr>
        <w:t xml:space="preserve"> SRS resource as well.</w:t>
      </w:r>
    </w:p>
    <w:p>
      <w:pPr>
        <w:adjustRightInd w:val="0"/>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2</w:t>
      </w:r>
      <w:r>
        <w:rPr>
          <w:rFonts w:hint="eastAsia" w:ascii="Times New Roman" w:hAnsi="Times New Roman" w:eastAsia="宋体"/>
          <w:i/>
          <w:iCs/>
          <w:sz w:val="20"/>
          <w:szCs w:val="20"/>
        </w:rPr>
        <w:t>: The discrete set for the LoS/NLoS indicators is defined with a granularity of 0.1 within the interval [0, 1] (i.e. [0, 0.1, 0.2,..., 0.9, 1])</w:t>
      </w:r>
    </w:p>
    <w:p>
      <w:pPr>
        <w:adjustRightInd w:val="0"/>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3</w:t>
      </w:r>
      <w:r>
        <w:rPr>
          <w:rFonts w:hint="eastAsia" w:ascii="Times New Roman" w:hAnsi="Times New Roman" w:eastAsia="宋体"/>
          <w:i/>
          <w:iCs/>
          <w:sz w:val="20"/>
          <w:szCs w:val="20"/>
        </w:rPr>
        <w:t>: All measurement results associated with the same reference signal in a location report should be provided with a single LoS/NLoS indicator.</w:t>
      </w:r>
    </w:p>
    <w:p>
      <w:pPr>
        <w:pStyle w:val="2"/>
        <w:rPr>
          <w:lang w:val="en-US"/>
        </w:rPr>
      </w:pPr>
      <w:r>
        <w:rPr>
          <w:rFonts w:hint="eastAsia"/>
          <w:lang w:val="en-US"/>
        </w:rPr>
        <w:t>Multi-path mitigation</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80" w:beforeLines="50" w:after="180" w:afterLines="50" w:line="240" w:lineRule="auto"/>
              <w:rPr>
                <w:rFonts w:ascii="Times New Roman" w:hAnsi="Times New Roman" w:eastAsia="Batang"/>
                <w:b/>
                <w:bCs/>
                <w:sz w:val="20"/>
                <w:szCs w:val="20"/>
                <w:u w:val="single"/>
                <w:lang w:val="en-GB"/>
              </w:rPr>
            </w:pPr>
            <w:r>
              <w:rPr>
                <w:rFonts w:ascii="Times New Roman" w:hAnsi="Times New Roman" w:eastAsia="Batang"/>
                <w:b/>
                <w:bCs/>
                <w:sz w:val="20"/>
                <w:szCs w:val="20"/>
                <w:u w:val="single"/>
                <w:lang w:val="en-GB"/>
              </w:rPr>
              <w:t>Agreement:</w:t>
            </w:r>
          </w:p>
          <w:p>
            <w:pPr>
              <w:numPr>
                <w:ilvl w:val="0"/>
                <w:numId w:val="7"/>
              </w:numPr>
              <w:overflowPunct w:val="0"/>
              <w:autoSpaceDE w:val="0"/>
              <w:autoSpaceDN w:val="0"/>
              <w:adjustRightInd w:val="0"/>
              <w:spacing w:before="180" w:beforeLines="50" w:after="180" w:afterLines="50"/>
              <w:contextualSpacing/>
              <w:textAlignment w:val="baseline"/>
              <w:rPr>
                <w:rFonts w:ascii="Times New Roman" w:hAnsi="Times New Roman" w:eastAsia="宋体"/>
                <w:sz w:val="20"/>
                <w:szCs w:val="20"/>
              </w:rPr>
            </w:pPr>
            <w:r>
              <w:rPr>
                <w:rFonts w:ascii="Times New Roman" w:hAnsi="Times New Roman" w:eastAsia="宋体"/>
                <w:sz w:val="20"/>
                <w:szCs w:val="20"/>
              </w:rPr>
              <w:t>For up to N&gt;2 additional paths, support reporting relative timing (to the first detected path) in the measurement reports from UE to LMF for at least DL-TDOA and multi-RTT</w:t>
            </w:r>
          </w:p>
          <w:p>
            <w:pPr>
              <w:numPr>
                <w:ilvl w:val="1"/>
                <w:numId w:val="7"/>
              </w:numPr>
              <w:overflowPunct w:val="0"/>
              <w:autoSpaceDE w:val="0"/>
              <w:autoSpaceDN w:val="0"/>
              <w:adjustRightInd w:val="0"/>
              <w:spacing w:before="180" w:beforeLines="50" w:after="180" w:afterLines="50"/>
              <w:contextualSpacing/>
              <w:textAlignment w:val="baseline"/>
              <w:rPr>
                <w:rFonts w:ascii="Times New Roman" w:hAnsi="Times New Roman" w:eastAsia="宋体"/>
                <w:sz w:val="20"/>
                <w:szCs w:val="20"/>
              </w:rPr>
            </w:pPr>
            <w:r>
              <w:rPr>
                <w:rFonts w:ascii="Times New Roman" w:hAnsi="Times New Roman" w:eastAsia="宋体"/>
                <w:sz w:val="20"/>
                <w:szCs w:val="20"/>
              </w:rPr>
              <w:t>FFS: Definition of additional paths for N&gt;2</w:t>
            </w:r>
          </w:p>
          <w:p>
            <w:pPr>
              <w:numPr>
                <w:ilvl w:val="1"/>
                <w:numId w:val="7"/>
              </w:numPr>
              <w:overflowPunct w:val="0"/>
              <w:autoSpaceDE w:val="0"/>
              <w:autoSpaceDN w:val="0"/>
              <w:adjustRightInd w:val="0"/>
              <w:spacing w:before="180" w:beforeLines="50" w:after="180" w:afterLines="50"/>
              <w:contextualSpacing/>
              <w:textAlignment w:val="baseline"/>
              <w:rPr>
                <w:rFonts w:ascii="Times New Roman" w:hAnsi="Times New Roman" w:eastAsia="宋体"/>
                <w:sz w:val="20"/>
                <w:szCs w:val="20"/>
              </w:rPr>
            </w:pPr>
            <w:r>
              <w:rPr>
                <w:rFonts w:ascii="Times New Roman" w:hAnsi="Times New Roman" w:eastAsia="宋体"/>
                <w:sz w:val="20"/>
                <w:szCs w:val="20"/>
              </w:rPr>
              <w:t>FFS: Whether power is additionally reported and if reported whether power is relative to first detected path or total power</w:t>
            </w:r>
          </w:p>
          <w:p>
            <w:pPr>
              <w:numPr>
                <w:ilvl w:val="0"/>
                <w:numId w:val="7"/>
              </w:numPr>
              <w:overflowPunct w:val="0"/>
              <w:autoSpaceDE w:val="0"/>
              <w:autoSpaceDN w:val="0"/>
              <w:adjustRightInd w:val="0"/>
              <w:spacing w:before="180" w:beforeLines="50" w:after="180" w:afterLines="50"/>
              <w:contextualSpacing/>
              <w:textAlignment w:val="baseline"/>
              <w:rPr>
                <w:rFonts w:ascii="Times New Roman" w:hAnsi="Times New Roman" w:eastAsia="宋体"/>
                <w:sz w:val="20"/>
                <w:szCs w:val="20"/>
              </w:rPr>
            </w:pPr>
            <w:r>
              <w:rPr>
                <w:rFonts w:ascii="Times New Roman" w:hAnsi="Times New Roman" w:eastAsia="宋体"/>
                <w:sz w:val="20"/>
                <w:szCs w:val="20"/>
              </w:rPr>
              <w:t>Support one of the following options for maximum value of N at RAN1#106-b (any further criteria for selection to be discussed during RAN1#106):</w:t>
            </w:r>
          </w:p>
          <w:p>
            <w:pPr>
              <w:numPr>
                <w:ilvl w:val="1"/>
                <w:numId w:val="7"/>
              </w:numPr>
              <w:overflowPunct w:val="0"/>
              <w:autoSpaceDE w:val="0"/>
              <w:autoSpaceDN w:val="0"/>
              <w:adjustRightInd w:val="0"/>
              <w:spacing w:before="180" w:beforeLines="50" w:after="180" w:afterLines="50"/>
              <w:contextualSpacing/>
              <w:textAlignment w:val="baseline"/>
              <w:rPr>
                <w:rFonts w:ascii="Times New Roman" w:hAnsi="Times New Roman" w:eastAsia="宋体"/>
                <w:sz w:val="20"/>
                <w:szCs w:val="20"/>
              </w:rPr>
            </w:pPr>
            <w:r>
              <w:rPr>
                <w:rFonts w:ascii="Times New Roman" w:hAnsi="Times New Roman" w:eastAsia="宋体"/>
                <w:sz w:val="20"/>
                <w:szCs w:val="20"/>
              </w:rPr>
              <w:t>Option 1: N = 4</w:t>
            </w:r>
          </w:p>
          <w:p>
            <w:pPr>
              <w:numPr>
                <w:ilvl w:val="1"/>
                <w:numId w:val="7"/>
              </w:numPr>
              <w:overflowPunct w:val="0"/>
              <w:autoSpaceDE w:val="0"/>
              <w:autoSpaceDN w:val="0"/>
              <w:adjustRightInd w:val="0"/>
              <w:spacing w:before="180" w:beforeLines="50" w:after="180" w:afterLines="50"/>
              <w:contextualSpacing/>
              <w:textAlignment w:val="baseline"/>
              <w:rPr>
                <w:rFonts w:ascii="Times New Roman" w:hAnsi="Times New Roman" w:eastAsia="宋体"/>
                <w:sz w:val="20"/>
                <w:szCs w:val="20"/>
              </w:rPr>
            </w:pPr>
            <w:r>
              <w:rPr>
                <w:rFonts w:ascii="Times New Roman" w:hAnsi="Times New Roman" w:eastAsia="宋体"/>
                <w:sz w:val="20"/>
                <w:szCs w:val="20"/>
              </w:rPr>
              <w:t>Option 2: N = 8</w:t>
            </w:r>
          </w:p>
          <w:p>
            <w:pPr>
              <w:numPr>
                <w:ilvl w:val="1"/>
                <w:numId w:val="7"/>
              </w:numPr>
              <w:overflowPunct w:val="0"/>
              <w:autoSpaceDE w:val="0"/>
              <w:autoSpaceDN w:val="0"/>
              <w:adjustRightInd w:val="0"/>
              <w:spacing w:before="180" w:beforeLines="50" w:after="180" w:afterLines="50"/>
              <w:contextualSpacing/>
              <w:textAlignment w:val="baseline"/>
              <w:rPr>
                <w:rFonts w:ascii="Times New Roman" w:hAnsi="Times New Roman" w:eastAsia="宋体"/>
                <w:sz w:val="20"/>
                <w:szCs w:val="20"/>
              </w:rPr>
            </w:pPr>
            <w:r>
              <w:rPr>
                <w:rFonts w:ascii="Times New Roman" w:hAnsi="Times New Roman" w:eastAsia="宋体"/>
                <w:sz w:val="20"/>
                <w:szCs w:val="20"/>
              </w:rPr>
              <w:t>Option 3: N = 16</w:t>
            </w:r>
          </w:p>
          <w:p>
            <w:pPr>
              <w:numPr>
                <w:ilvl w:val="1"/>
                <w:numId w:val="7"/>
              </w:numPr>
              <w:overflowPunct w:val="0"/>
              <w:autoSpaceDE w:val="0"/>
              <w:autoSpaceDN w:val="0"/>
              <w:adjustRightInd w:val="0"/>
              <w:spacing w:before="180" w:beforeLines="50" w:after="180" w:afterLines="50"/>
              <w:contextualSpacing/>
              <w:textAlignment w:val="baseline"/>
              <w:rPr>
                <w:rFonts w:ascii="Times New Roman" w:hAnsi="Times New Roman" w:eastAsia="宋体"/>
                <w:sz w:val="20"/>
                <w:szCs w:val="20"/>
              </w:rPr>
            </w:pPr>
            <w:r>
              <w:rPr>
                <w:rFonts w:ascii="Times New Roman" w:hAnsi="Times New Roman" w:eastAsia="宋体"/>
                <w:sz w:val="20"/>
                <w:szCs w:val="20"/>
              </w:rPr>
              <w:t>Option 4: N = 32</w:t>
            </w:r>
          </w:p>
          <w:p>
            <w:pPr>
              <w:spacing w:before="180" w:beforeLines="50" w:after="180" w:afterLines="50" w:line="240" w:lineRule="auto"/>
              <w:rPr>
                <w:rFonts w:ascii="Times New Roman" w:hAnsi="Times New Roman" w:eastAsia="Batang"/>
                <w:b/>
                <w:bCs/>
                <w:sz w:val="20"/>
                <w:szCs w:val="20"/>
                <w:u w:val="single"/>
                <w:lang w:val="en-GB"/>
              </w:rPr>
            </w:pPr>
            <w:r>
              <w:rPr>
                <w:rFonts w:ascii="Times New Roman" w:hAnsi="Times New Roman" w:eastAsia="Batang"/>
                <w:b/>
                <w:bCs/>
                <w:sz w:val="20"/>
                <w:szCs w:val="20"/>
                <w:u w:val="single"/>
                <w:lang w:val="en-GB"/>
              </w:rPr>
              <w:t>Agreement:</w:t>
            </w:r>
          </w:p>
          <w:p>
            <w:pPr>
              <w:numPr>
                <w:ilvl w:val="0"/>
                <w:numId w:val="8"/>
              </w:numPr>
              <w:overflowPunct w:val="0"/>
              <w:autoSpaceDE w:val="0"/>
              <w:autoSpaceDN w:val="0"/>
              <w:adjustRightInd w:val="0"/>
              <w:spacing w:before="180" w:beforeLines="50" w:after="180" w:afterLines="50"/>
              <w:contextualSpacing/>
              <w:textAlignment w:val="baseline"/>
              <w:rPr>
                <w:rFonts w:ascii="Times New Roman" w:hAnsi="Times New Roman" w:eastAsia="宋体"/>
                <w:sz w:val="20"/>
                <w:szCs w:val="20"/>
              </w:rPr>
            </w:pPr>
            <w:r>
              <w:rPr>
                <w:rFonts w:ascii="Times New Roman" w:hAnsi="Times New Roman" w:eastAsia="宋体"/>
                <w:sz w:val="20"/>
                <w:szCs w:val="20"/>
              </w:rPr>
              <w:t>For multipath reporting enhancements, support reporting from TRP to LMF, angle, timing, for up to additional N&gt;2 paths for at least UL-TDOA and multi-RTT.</w:t>
            </w:r>
          </w:p>
          <w:p>
            <w:pPr>
              <w:numPr>
                <w:ilvl w:val="1"/>
                <w:numId w:val="8"/>
              </w:numPr>
              <w:overflowPunct w:val="0"/>
              <w:autoSpaceDE w:val="0"/>
              <w:autoSpaceDN w:val="0"/>
              <w:adjustRightInd w:val="0"/>
              <w:spacing w:before="180" w:beforeLines="50" w:after="180" w:afterLines="50"/>
              <w:contextualSpacing/>
              <w:textAlignment w:val="baseline"/>
              <w:rPr>
                <w:rFonts w:ascii="Times New Roman" w:hAnsi="Times New Roman" w:eastAsia="宋体"/>
                <w:sz w:val="20"/>
                <w:szCs w:val="20"/>
              </w:rPr>
            </w:pPr>
            <w:r>
              <w:rPr>
                <w:rFonts w:ascii="Times New Roman" w:hAnsi="Times New Roman" w:eastAsia="宋体"/>
                <w:sz w:val="20"/>
                <w:szCs w:val="20"/>
              </w:rPr>
              <w:t>FFS: Definition of additional paths for N&gt;2</w:t>
            </w:r>
          </w:p>
          <w:p>
            <w:pPr>
              <w:numPr>
                <w:ilvl w:val="1"/>
                <w:numId w:val="8"/>
              </w:numPr>
              <w:overflowPunct w:val="0"/>
              <w:autoSpaceDE w:val="0"/>
              <w:autoSpaceDN w:val="0"/>
              <w:adjustRightInd w:val="0"/>
              <w:spacing w:before="180" w:beforeLines="50" w:after="180" w:afterLines="50"/>
              <w:contextualSpacing/>
              <w:textAlignment w:val="baseline"/>
              <w:rPr>
                <w:rFonts w:ascii="Times New Roman" w:hAnsi="Times New Roman" w:eastAsia="宋体"/>
                <w:sz w:val="20"/>
                <w:szCs w:val="20"/>
              </w:rPr>
            </w:pPr>
            <w:r>
              <w:rPr>
                <w:rFonts w:ascii="Times New Roman" w:hAnsi="Times New Roman" w:eastAsia="宋体"/>
                <w:sz w:val="20"/>
                <w:szCs w:val="20"/>
              </w:rPr>
              <w:t>FFS: Whether power is additionally reported and if reported whether power is relative to first detected path or total power</w:t>
            </w:r>
          </w:p>
          <w:p>
            <w:pPr>
              <w:numPr>
                <w:ilvl w:val="0"/>
                <w:numId w:val="8"/>
              </w:numPr>
              <w:overflowPunct w:val="0"/>
              <w:autoSpaceDE w:val="0"/>
              <w:autoSpaceDN w:val="0"/>
              <w:adjustRightInd w:val="0"/>
              <w:spacing w:before="180" w:beforeLines="50" w:after="180" w:afterLines="50"/>
              <w:contextualSpacing/>
              <w:textAlignment w:val="baseline"/>
              <w:rPr>
                <w:rFonts w:ascii="Times New Roman" w:hAnsi="Times New Roman" w:eastAsia="宋体"/>
                <w:sz w:val="20"/>
                <w:szCs w:val="20"/>
              </w:rPr>
            </w:pPr>
            <w:r>
              <w:rPr>
                <w:rFonts w:ascii="Times New Roman" w:hAnsi="Times New Roman" w:eastAsia="宋体"/>
                <w:sz w:val="20"/>
                <w:szCs w:val="20"/>
              </w:rPr>
              <w:t>Down select between the following options for N at RAN1#106-b (any further criteria for selection to be discussed during RAN1#106):</w:t>
            </w:r>
          </w:p>
          <w:p>
            <w:pPr>
              <w:numPr>
                <w:ilvl w:val="1"/>
                <w:numId w:val="8"/>
              </w:numPr>
              <w:overflowPunct w:val="0"/>
              <w:autoSpaceDE w:val="0"/>
              <w:autoSpaceDN w:val="0"/>
              <w:adjustRightInd w:val="0"/>
              <w:spacing w:before="180" w:beforeLines="50" w:after="180" w:afterLines="50"/>
              <w:contextualSpacing/>
              <w:textAlignment w:val="baseline"/>
              <w:rPr>
                <w:rFonts w:ascii="Times New Roman" w:hAnsi="Times New Roman" w:eastAsia="宋体"/>
                <w:sz w:val="20"/>
                <w:szCs w:val="20"/>
              </w:rPr>
            </w:pPr>
            <w:r>
              <w:rPr>
                <w:rFonts w:ascii="Times New Roman" w:hAnsi="Times New Roman" w:eastAsia="宋体"/>
                <w:sz w:val="20"/>
                <w:szCs w:val="20"/>
              </w:rPr>
              <w:t>Option 1: N = 4</w:t>
            </w:r>
          </w:p>
          <w:p>
            <w:pPr>
              <w:numPr>
                <w:ilvl w:val="1"/>
                <w:numId w:val="8"/>
              </w:numPr>
              <w:overflowPunct w:val="0"/>
              <w:autoSpaceDE w:val="0"/>
              <w:autoSpaceDN w:val="0"/>
              <w:adjustRightInd w:val="0"/>
              <w:spacing w:before="180" w:beforeLines="50" w:after="180" w:afterLines="50"/>
              <w:contextualSpacing/>
              <w:textAlignment w:val="baseline"/>
              <w:rPr>
                <w:rFonts w:ascii="Times New Roman" w:hAnsi="Times New Roman" w:eastAsia="宋体"/>
                <w:sz w:val="20"/>
                <w:szCs w:val="20"/>
              </w:rPr>
            </w:pPr>
            <w:r>
              <w:rPr>
                <w:rFonts w:ascii="Times New Roman" w:hAnsi="Times New Roman" w:eastAsia="宋体"/>
                <w:sz w:val="20"/>
                <w:szCs w:val="20"/>
              </w:rPr>
              <w:t>Option 2: N = 8</w:t>
            </w:r>
          </w:p>
          <w:p>
            <w:pPr>
              <w:numPr>
                <w:ilvl w:val="1"/>
                <w:numId w:val="8"/>
              </w:numPr>
              <w:overflowPunct w:val="0"/>
              <w:autoSpaceDE w:val="0"/>
              <w:autoSpaceDN w:val="0"/>
              <w:adjustRightInd w:val="0"/>
              <w:spacing w:before="180" w:beforeLines="50" w:after="180" w:afterLines="50"/>
              <w:contextualSpacing/>
              <w:textAlignment w:val="baseline"/>
              <w:rPr>
                <w:rFonts w:ascii="Times New Roman" w:hAnsi="Times New Roman" w:eastAsia="宋体"/>
                <w:sz w:val="20"/>
                <w:szCs w:val="20"/>
              </w:rPr>
            </w:pPr>
            <w:r>
              <w:rPr>
                <w:rFonts w:ascii="Times New Roman" w:hAnsi="Times New Roman" w:eastAsia="宋体"/>
                <w:sz w:val="20"/>
                <w:szCs w:val="20"/>
              </w:rPr>
              <w:t>Option 3: N = 16</w:t>
            </w:r>
          </w:p>
          <w:p>
            <w:pPr>
              <w:numPr>
                <w:ilvl w:val="1"/>
                <w:numId w:val="8"/>
              </w:numPr>
              <w:overflowPunct w:val="0"/>
              <w:autoSpaceDE w:val="0"/>
              <w:autoSpaceDN w:val="0"/>
              <w:adjustRightInd w:val="0"/>
              <w:spacing w:before="180" w:beforeLines="50" w:after="180" w:afterLines="50"/>
              <w:contextualSpacing/>
              <w:textAlignment w:val="baseline"/>
              <w:rPr>
                <w:rFonts w:ascii="Times New Roman" w:hAnsi="Times New Roman" w:eastAsia="宋体"/>
                <w:sz w:val="20"/>
                <w:szCs w:val="20"/>
              </w:rPr>
            </w:pPr>
            <w:r>
              <w:rPr>
                <w:rFonts w:ascii="Times New Roman" w:hAnsi="Times New Roman" w:eastAsia="宋体"/>
                <w:sz w:val="20"/>
                <w:szCs w:val="20"/>
              </w:rPr>
              <w:t>Option 4: N = 32</w:t>
            </w:r>
          </w:p>
          <w:p>
            <w:pPr>
              <w:spacing w:before="180" w:beforeLines="50" w:after="180" w:afterLines="50" w:line="240" w:lineRule="auto"/>
              <w:rPr>
                <w:rFonts w:ascii="Times New Roman" w:hAnsi="Times New Roman" w:eastAsia="Batang"/>
                <w:b/>
                <w:bCs/>
                <w:sz w:val="20"/>
                <w:szCs w:val="20"/>
                <w:u w:val="single"/>
                <w:lang w:val="en-GB"/>
              </w:rPr>
            </w:pPr>
            <w:r>
              <w:rPr>
                <w:rFonts w:ascii="Times New Roman" w:hAnsi="Times New Roman" w:eastAsia="Batang"/>
                <w:b/>
                <w:bCs/>
                <w:sz w:val="20"/>
                <w:szCs w:val="20"/>
                <w:u w:val="single"/>
                <w:lang w:val="en-GB"/>
              </w:rPr>
              <w:t>Agreement:</w:t>
            </w:r>
          </w:p>
          <w:p>
            <w:pPr>
              <w:spacing w:before="180" w:beforeLines="50" w:after="180" w:afterLines="50" w:line="240" w:lineRule="auto"/>
              <w:rPr>
                <w:rFonts w:ascii="Times New Roman" w:hAnsi="Times New Roman" w:eastAsia="Batang"/>
                <w:sz w:val="20"/>
                <w:szCs w:val="20"/>
              </w:rPr>
            </w:pPr>
            <w:r>
              <w:rPr>
                <w:rFonts w:ascii="Times New Roman" w:hAnsi="Times New Roman" w:eastAsia="Batang"/>
                <w:sz w:val="20"/>
                <w:szCs w:val="20"/>
              </w:rPr>
              <w:t>Reporting multiple UL-AoA values per additional path is supported for at least UL TDOA and multi-RTT.</w:t>
            </w:r>
          </w:p>
          <w:p>
            <w:pPr>
              <w:numPr>
                <w:ilvl w:val="0"/>
                <w:numId w:val="9"/>
              </w:numPr>
              <w:spacing w:before="180" w:beforeLines="50" w:after="180" w:afterLines="50" w:line="240" w:lineRule="auto"/>
            </w:pPr>
            <w:r>
              <w:rPr>
                <w:rFonts w:ascii="Times New Roman" w:hAnsi="Times New Roman" w:eastAsia="Batang"/>
                <w:sz w:val="20"/>
                <w:szCs w:val="20"/>
              </w:rPr>
              <w:t>FFS: maximum number of UL-AoA values per additional path.</w:t>
            </w:r>
          </w:p>
        </w:tc>
      </w:tr>
    </w:tbl>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The timing based reporting is adequate in LOS scenario when the time of arrival (TOA) reflects the LOS component. However, if the LOS component is impacted by large noise and interference, or an NLOS component is selected to reflect TOA estimate, the TOA estimate is biased from the propagation time of the corresponding reference signal over the air. That</w:t>
      </w:r>
      <w:r>
        <w:rPr>
          <w:rFonts w:ascii="Times New Roman" w:hAnsi="Times New Roman" w:eastAsia="宋体"/>
          <w:sz w:val="20"/>
          <w:szCs w:val="20"/>
        </w:rPr>
        <w:t>’</w:t>
      </w:r>
      <w:r>
        <w:rPr>
          <w:rFonts w:hint="eastAsia" w:ascii="Times New Roman" w:hAnsi="Times New Roman" w:eastAsia="宋体"/>
          <w:sz w:val="20"/>
          <w:szCs w:val="20"/>
        </w:rPr>
        <w:t>s why the current specification supports UE/TRP to report additional paths aside from the path component to derive measurement results. By this way, it</w:t>
      </w:r>
      <w:r>
        <w:rPr>
          <w:rFonts w:ascii="Times New Roman" w:hAnsi="Times New Roman" w:eastAsia="宋体"/>
          <w:sz w:val="20"/>
          <w:szCs w:val="20"/>
        </w:rPr>
        <w:t>’</w:t>
      </w:r>
      <w:r>
        <w:rPr>
          <w:rFonts w:hint="eastAsia" w:ascii="Times New Roman" w:hAnsi="Times New Roman" w:eastAsia="宋体"/>
          <w:sz w:val="20"/>
          <w:szCs w:val="20"/>
        </w:rPr>
        <w:t xml:space="preserve">s up to LMF to choose the best path for locating a UE. According to </w:t>
      </w:r>
      <w:r>
        <w:rPr>
          <w:rFonts w:ascii="Times New Roman" w:hAnsi="Times New Roman" w:eastAsia="宋体"/>
          <w:sz w:val="20"/>
          <w:szCs w:val="20"/>
        </w:rPr>
        <w:t xml:space="preserve">the </w:t>
      </w:r>
      <w:r>
        <w:rPr>
          <w:rFonts w:hint="eastAsia" w:ascii="Times New Roman" w:hAnsi="Times New Roman" w:eastAsia="宋体"/>
          <w:sz w:val="20"/>
          <w:szCs w:val="20"/>
        </w:rPr>
        <w:t>current spec</w:t>
      </w:r>
      <w:r>
        <w:rPr>
          <w:rFonts w:ascii="Times New Roman" w:hAnsi="Times New Roman" w:eastAsia="宋体"/>
          <w:sz w:val="20"/>
          <w:szCs w:val="20"/>
        </w:rPr>
        <w:t>ification</w:t>
      </w:r>
      <w:r>
        <w:rPr>
          <w:rFonts w:hint="eastAsia" w:ascii="Times New Roman" w:hAnsi="Times New Roman" w:eastAsia="宋体"/>
          <w:sz w:val="20"/>
          <w:szCs w:val="20"/>
        </w:rPr>
        <w:t>s defined in TS 37.355 and TS 38.455, the reporting of additional paths is already supported in following cases,</w:t>
      </w:r>
    </w:p>
    <w:p>
      <w:pPr>
        <w:numPr>
          <w:ilvl w:val="0"/>
          <w:numId w:val="10"/>
        </w:num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DL-TDOA positioning method supports up to 2 additional detected path timing values for a TRP or resource, relative to the path timing used for determining DL RSTD value.</w:t>
      </w:r>
    </w:p>
    <w:p>
      <w:pPr>
        <w:numPr>
          <w:ilvl w:val="0"/>
          <w:numId w:val="10"/>
        </w:num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Multi-RTT positioning method up to 2 additional detected path timing values for a TRP or resource, relative to the path timing used for determining UE Rx-Tx timing difference value.</w:t>
      </w:r>
    </w:p>
    <w:p>
      <w:pPr>
        <w:numPr>
          <w:ilvl w:val="0"/>
          <w:numId w:val="10"/>
        </w:num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For UL RTOA and gNB Rx-Tx Time Difference measurement reporting, there is no explicit signaling to report additional paths. However, gNB/TRP can report up to 16384 measurement values, which can implicitly support the timings of additional paths.</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In addition to the timings of additional paths, several companies also proposed to support RSRP of additional paths and N&gt;2 additional paths for timings, which may be beneficial for NLOS and AI based positioning solutions. However, the path PRS RSRP was discussed in DL-AOD agenda in last meeting, which is normally useful for the first path. Therefore, the </w:t>
      </w:r>
      <w:r>
        <w:rPr>
          <w:rFonts w:ascii="Times New Roman" w:hAnsi="Times New Roman" w:eastAsia="宋体"/>
          <w:sz w:val="20"/>
          <w:szCs w:val="20"/>
        </w:rPr>
        <w:t xml:space="preserve">discussion of </w:t>
      </w:r>
      <w:r>
        <w:rPr>
          <w:rFonts w:hint="eastAsia" w:ascii="Times New Roman" w:hAnsi="Times New Roman" w:eastAsia="宋体"/>
          <w:sz w:val="20"/>
          <w:szCs w:val="20"/>
        </w:rPr>
        <w:t xml:space="preserve">RSRP for additional paths should wait for the conclusion on the definition of path PRS RSRP.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For the number of additional paths, the concern is that whether the devices are necessary to detect and report so many additional paths. At least some criteria should be considered for the reporting of additional paths. For example, as depicted in Figure 2, LMF may only have interest in some paths close to the first detected path. There is no need for UE/TRP to provide additional paths outside the time span concerned by LMF. The additional paths outside the time span are biased too much from the first detected path, which may not provide any important information but consume a mass of overhead. </w:t>
      </w:r>
      <w:r>
        <w:rPr>
          <w:rFonts w:ascii="Times New Roman" w:hAnsi="Times New Roman" w:eastAsia="宋体"/>
          <w:sz w:val="20"/>
          <w:szCs w:val="20"/>
        </w:rPr>
        <w:t>Hence</w:t>
      </w:r>
      <w:r>
        <w:rPr>
          <w:rFonts w:hint="eastAsia" w:ascii="Times New Roman" w:hAnsi="Times New Roman" w:eastAsia="宋体"/>
          <w:sz w:val="20"/>
          <w:szCs w:val="20"/>
        </w:rPr>
        <w:t>, UE/TRP only needs to report the additional paths that are within a time span started from the first detected path.</w:t>
      </w:r>
    </w:p>
    <w:p>
      <w:pPr>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object>
          <v:shape id="_x0000_i1025" o:spt="75" type="#_x0000_t75" style="height:161.1pt;width:399.5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Figure 2 Time span for the reporting of additional paths</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Another criterion shown in Figure 3 is considered from power domain. The detection of paths is impacted by noise and interference. Therefore, some additional paths detected may not actually be real paths in the channel but noise and interference. Those paths cannot provide any additional information for LMF to conduct positioning. </w:t>
      </w:r>
      <w:r>
        <w:rPr>
          <w:rFonts w:ascii="Times New Roman" w:hAnsi="Times New Roman" w:eastAsia="宋体"/>
          <w:sz w:val="20"/>
          <w:szCs w:val="20"/>
        </w:rPr>
        <w:t>Thus</w:t>
      </w:r>
      <w:r>
        <w:rPr>
          <w:rFonts w:hint="eastAsia" w:ascii="Times New Roman" w:hAnsi="Times New Roman" w:eastAsia="宋体"/>
          <w:sz w:val="20"/>
          <w:szCs w:val="20"/>
        </w:rPr>
        <w:t>, UE/TRP only needs to report the additional paths whose powers are larger than a threshold related to the peak of the power delay profile.</w:t>
      </w:r>
    </w:p>
    <w:p>
      <w:pPr>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object>
          <v:shape id="_x0000_i1026" o:spt="75" type="#_x0000_t75" style="height:144.35pt;width:399.55pt;" o:ole="t" filled="f" o:preferrelative="t" stroked="f" coordsize="21600,21600">
            <v:path/>
            <v:fill on="f" focussize="0,0"/>
            <v:stroke on="f" joinstyle="miter"/>
            <v:imagedata r:id="rId9" o:title=""/>
            <o:lock v:ext="edit" aspectratio="f"/>
            <w10:wrap type="none"/>
            <w10:anchorlock/>
          </v:shape>
          <o:OLEObject Type="Embed" ProgID="Visio.Drawing.15" ShapeID="_x0000_i1026" DrawAspect="Content" ObjectID="_1468075726" r:id="rId8">
            <o:LockedField>false</o:LockedField>
          </o:OLEObject>
        </w:object>
      </w:r>
    </w:p>
    <w:p>
      <w:pPr>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Figure 3 The power threshold to report additional paths</w:t>
      </w:r>
    </w:p>
    <w:p>
      <w:pPr>
        <w:snapToGrid w:val="0"/>
        <w:spacing w:before="180" w:beforeLines="50" w:after="180" w:afterLines="50" w:line="240" w:lineRule="auto"/>
        <w:jc w:val="both"/>
        <w:rPr>
          <w:rFonts w:ascii="Times New Roman" w:hAnsi="Times New Roman" w:eastAsia="宋体"/>
          <w:i/>
          <w:sz w:val="20"/>
          <w:szCs w:val="20"/>
        </w:rPr>
      </w:pPr>
      <w:r>
        <w:rPr>
          <w:rFonts w:hint="eastAsia" w:ascii="Times New Roman" w:hAnsi="Times New Roman" w:eastAsia="宋体"/>
          <w:b/>
          <w:i/>
          <w:sz w:val="20"/>
          <w:szCs w:val="20"/>
        </w:rPr>
        <w:t xml:space="preserve">Proposal 4: </w:t>
      </w:r>
      <w:r>
        <w:rPr>
          <w:rFonts w:hint="eastAsia" w:ascii="Times New Roman" w:hAnsi="Times New Roman" w:eastAsia="宋体"/>
          <w:i/>
          <w:sz w:val="20"/>
          <w:szCs w:val="20"/>
        </w:rPr>
        <w:t xml:space="preserve">The RSRP for additional paths should wait for the conclusion on the definition of path PRS RSRP in other agenda. </w:t>
      </w:r>
    </w:p>
    <w:p>
      <w:pPr>
        <w:snapToGrid w:val="0"/>
        <w:spacing w:before="180" w:beforeLines="50" w:after="180" w:afterLines="50" w:line="240" w:lineRule="auto"/>
        <w:jc w:val="both"/>
        <w:rPr>
          <w:rFonts w:ascii="Times New Roman" w:hAnsi="Times New Roman" w:eastAsia="宋体"/>
          <w:i/>
          <w:sz w:val="20"/>
          <w:szCs w:val="20"/>
        </w:rPr>
      </w:pPr>
      <w:r>
        <w:rPr>
          <w:rFonts w:hint="eastAsia" w:ascii="Times New Roman" w:hAnsi="Times New Roman" w:eastAsia="宋体"/>
          <w:b/>
          <w:i/>
          <w:sz w:val="20"/>
          <w:szCs w:val="20"/>
        </w:rPr>
        <w:t xml:space="preserve">Proposal 5: </w:t>
      </w:r>
      <w:r>
        <w:rPr>
          <w:rFonts w:hint="eastAsia" w:ascii="Times New Roman" w:hAnsi="Times New Roman" w:eastAsia="宋体"/>
          <w:i/>
          <w:sz w:val="20"/>
          <w:szCs w:val="20"/>
        </w:rPr>
        <w:t>In order to balance the overhead and performance, at least the following criteria should be considered for the reporting of additional paths,</w:t>
      </w:r>
    </w:p>
    <w:p>
      <w:pPr>
        <w:pStyle w:val="97"/>
        <w:numPr>
          <w:ilvl w:val="0"/>
          <w:numId w:val="11"/>
        </w:numPr>
        <w:snapToGrid w:val="0"/>
        <w:spacing w:before="180" w:beforeLines="50" w:after="180" w:afterLines="50" w:line="240" w:lineRule="auto"/>
        <w:ind w:leftChars="0"/>
        <w:jc w:val="both"/>
        <w:rPr>
          <w:rFonts w:ascii="Times New Roman" w:hAnsi="Times New Roman" w:eastAsia="宋体"/>
          <w:i/>
          <w:sz w:val="20"/>
          <w:szCs w:val="20"/>
        </w:rPr>
      </w:pPr>
      <w:r>
        <w:rPr>
          <w:rFonts w:ascii="Times New Roman" w:hAnsi="Times New Roman" w:eastAsia="宋体"/>
          <w:i/>
          <w:sz w:val="20"/>
          <w:szCs w:val="20"/>
        </w:rPr>
        <w:t>UE/TRP only needs to report the additional paths that are within a time span started from the first detected path.</w:t>
      </w:r>
    </w:p>
    <w:p>
      <w:pPr>
        <w:pStyle w:val="97"/>
        <w:numPr>
          <w:ilvl w:val="0"/>
          <w:numId w:val="11"/>
        </w:numPr>
        <w:snapToGrid w:val="0"/>
        <w:spacing w:before="180" w:beforeLines="50" w:after="180" w:afterLines="50" w:line="240" w:lineRule="auto"/>
        <w:ind w:leftChars="0"/>
        <w:jc w:val="both"/>
        <w:rPr>
          <w:rFonts w:ascii="Times New Roman" w:hAnsi="Times New Roman" w:eastAsia="宋体"/>
          <w:i/>
          <w:iCs/>
          <w:sz w:val="20"/>
          <w:szCs w:val="20"/>
        </w:rPr>
      </w:pPr>
      <w:r>
        <w:rPr>
          <w:rFonts w:ascii="Times New Roman" w:hAnsi="Times New Roman" w:eastAsia="宋体"/>
          <w:i/>
          <w:iCs/>
          <w:sz w:val="20"/>
          <w:szCs w:val="20"/>
        </w:rPr>
        <w:t>UE/TRP only needs to report the additional paths whose powers are larger than a threshold related to the peak of the power delay profile.</w:t>
      </w:r>
    </w:p>
    <w:p>
      <w:pPr>
        <w:pStyle w:val="2"/>
        <w:snapToGrid w:val="0"/>
        <w:spacing w:before="180" w:beforeLines="50" w:after="180" w:afterLines="50"/>
        <w:ind w:left="431" w:hanging="431"/>
        <w:rPr>
          <w:sz w:val="28"/>
          <w:lang w:val="en-US"/>
        </w:rPr>
      </w:pPr>
      <w:r>
        <w:rPr>
          <w:sz w:val="28"/>
          <w:lang w:val="en-US"/>
        </w:rPr>
        <w:t>Conclusions</w:t>
      </w:r>
    </w:p>
    <w:p>
      <w:pPr>
        <w:adjustRightInd w:val="0"/>
        <w:snapToGrid w:val="0"/>
        <w:spacing w:before="180" w:beforeLines="50" w:after="180" w:afterLines="50" w:line="240" w:lineRule="auto"/>
        <w:jc w:val="both"/>
        <w:rPr>
          <w:rFonts w:ascii="Times New Roman" w:hAnsi="Times New Roman"/>
          <w:sz w:val="20"/>
          <w:szCs w:val="20"/>
        </w:rPr>
      </w:pPr>
      <w:bookmarkStart w:id="9" w:name="OLE_LINK10"/>
      <w:bookmarkStart w:id="10" w:name="OLE_LINK11"/>
      <w:r>
        <w:rPr>
          <w:rFonts w:ascii="Times New Roman" w:hAnsi="Times New Roman"/>
          <w:sz w:val="20"/>
          <w:szCs w:val="20"/>
          <w:lang w:val="en-GB"/>
        </w:rPr>
        <w:t xml:space="preserve">In this contribution, we </w:t>
      </w:r>
      <w:r>
        <w:rPr>
          <w:rFonts w:hint="eastAsia" w:ascii="Times New Roman" w:hAnsi="Times New Roman"/>
          <w:sz w:val="20"/>
          <w:szCs w:val="20"/>
          <w:lang w:val="en-US" w:eastAsia="zh-CN"/>
        </w:rPr>
        <w:t>provide our views on</w:t>
      </w:r>
      <w:r>
        <w:rPr>
          <w:rFonts w:hint="eastAsia" w:ascii="Times New Roman" w:hAnsi="Times New Roman"/>
          <w:sz w:val="20"/>
          <w:szCs w:val="20"/>
        </w:rPr>
        <w:t xml:space="preserve"> NLOS and Multi-path mitigation for NR positioning</w:t>
      </w:r>
      <w:r>
        <w:rPr>
          <w:rFonts w:ascii="Times New Roman" w:hAnsi="Times New Roman"/>
          <w:sz w:val="20"/>
          <w:szCs w:val="20"/>
        </w:rPr>
        <w:t>, the following observations and proposals are proposed,</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Observation 1:</w:t>
      </w:r>
      <w:r>
        <w:rPr>
          <w:rFonts w:hint="eastAsia" w:ascii="Times New Roman" w:hAnsi="Times New Roman"/>
          <w:i/>
          <w:iCs/>
          <w:sz w:val="20"/>
          <w:szCs w:val="20"/>
        </w:rPr>
        <w:t>The prior channel statistics provided in assistance data can facilitate UE to determine the confidence of LOS links for both UE-based and UE-assisted positioning.</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1: </w:t>
      </w:r>
      <w:r>
        <w:rPr>
          <w:rFonts w:hint="eastAsia" w:ascii="Times New Roman" w:hAnsi="Times New Roman"/>
          <w:i/>
          <w:iCs/>
          <w:sz w:val="20"/>
          <w:szCs w:val="20"/>
        </w:rPr>
        <w:t>Support LMF to provide the priori channel statistics in positioning assistance data, at least considering the distribution of Ricean K-factor and/or the distribution of delay spread.</w:t>
      </w:r>
    </w:p>
    <w:p>
      <w:pPr>
        <w:adjustRightInd w:val="0"/>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2</w:t>
      </w:r>
      <w:r>
        <w:rPr>
          <w:rFonts w:hint="eastAsia" w:ascii="Times New Roman" w:hAnsi="Times New Roman" w:eastAsia="宋体"/>
          <w:i/>
          <w:iCs/>
          <w:sz w:val="20"/>
          <w:szCs w:val="20"/>
        </w:rPr>
        <w:t>: The discrete set for the LoS/NLoS indicators is defined with a granularity of 0.1 within the interval [0, 1] (i.e. [0, 0.1, 0.2,..., 0.9, 1])</w:t>
      </w:r>
    </w:p>
    <w:p>
      <w:pPr>
        <w:adjustRightInd w:val="0"/>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3</w:t>
      </w:r>
      <w:r>
        <w:rPr>
          <w:rFonts w:hint="eastAsia" w:ascii="Times New Roman" w:hAnsi="Times New Roman" w:eastAsia="宋体"/>
          <w:i/>
          <w:iCs/>
          <w:sz w:val="20"/>
          <w:szCs w:val="20"/>
        </w:rPr>
        <w:t>: All measurement results associated with the same reference signal in a location report should be provided with a single LoS/NLoS indicator.</w:t>
      </w:r>
    </w:p>
    <w:p>
      <w:pPr>
        <w:spacing w:before="180" w:beforeLines="50" w:after="180" w:afterLines="50" w:line="240" w:lineRule="auto"/>
        <w:rPr>
          <w:rFonts w:ascii="Times New Roman" w:hAnsi="Times New Roman" w:eastAsia="宋体"/>
          <w:i/>
          <w:iCs/>
          <w:sz w:val="20"/>
          <w:szCs w:val="20"/>
        </w:rPr>
      </w:pPr>
      <w:r>
        <w:rPr>
          <w:rFonts w:hint="eastAsia" w:ascii="Times New Roman" w:hAnsi="Times New Roman" w:eastAsia="宋体"/>
          <w:b/>
          <w:bCs/>
          <w:i/>
          <w:iCs/>
          <w:sz w:val="20"/>
          <w:szCs w:val="20"/>
        </w:rPr>
        <w:t>Proposal 4</w:t>
      </w:r>
      <w:r>
        <w:rPr>
          <w:rFonts w:hint="eastAsia" w:ascii="Times New Roman" w:hAnsi="Times New Roman" w:eastAsia="宋体"/>
          <w:i/>
          <w:iCs/>
          <w:sz w:val="20"/>
          <w:szCs w:val="20"/>
        </w:rPr>
        <w:t xml:space="preserve">: The RSRP for additional paths should wait for the conclusion on the definition of path PRS RSRP in other agenda. </w:t>
      </w:r>
    </w:p>
    <w:p>
      <w:pPr>
        <w:spacing w:before="180" w:beforeLines="50" w:after="180" w:afterLines="50" w:line="240" w:lineRule="auto"/>
        <w:rPr>
          <w:rFonts w:ascii="Times New Roman" w:hAnsi="Times New Roman" w:eastAsia="宋体"/>
          <w:i/>
          <w:iCs/>
          <w:sz w:val="20"/>
          <w:szCs w:val="20"/>
        </w:rPr>
      </w:pPr>
      <w:r>
        <w:rPr>
          <w:rFonts w:hint="eastAsia" w:ascii="Times New Roman" w:hAnsi="Times New Roman" w:eastAsia="宋体"/>
          <w:b/>
          <w:bCs/>
          <w:i/>
          <w:iCs/>
          <w:sz w:val="20"/>
          <w:szCs w:val="20"/>
        </w:rPr>
        <w:t>Proposal 5</w:t>
      </w:r>
      <w:r>
        <w:rPr>
          <w:rFonts w:hint="eastAsia" w:ascii="Times New Roman" w:hAnsi="Times New Roman" w:eastAsia="宋体"/>
          <w:i/>
          <w:iCs/>
          <w:sz w:val="20"/>
          <w:szCs w:val="20"/>
        </w:rPr>
        <w:t>: In order to balance the overhead and performance, at least the following criteria should be considered for the reporting of additional paths,</w:t>
      </w:r>
    </w:p>
    <w:p>
      <w:pPr>
        <w:numPr>
          <w:ilvl w:val="0"/>
          <w:numId w:val="12"/>
        </w:numPr>
        <w:spacing w:before="180" w:beforeLines="50" w:after="180" w:afterLines="50" w:line="240" w:lineRule="auto"/>
        <w:rPr>
          <w:rFonts w:ascii="Times New Roman" w:hAnsi="Times New Roman" w:eastAsia="宋体"/>
          <w:i/>
          <w:iCs/>
          <w:sz w:val="20"/>
          <w:szCs w:val="20"/>
        </w:rPr>
      </w:pPr>
      <w:r>
        <w:rPr>
          <w:rFonts w:ascii="Times New Roman" w:hAnsi="Times New Roman" w:eastAsia="宋体"/>
          <w:i/>
          <w:iCs/>
          <w:sz w:val="20"/>
          <w:szCs w:val="20"/>
        </w:rPr>
        <w:t>UE/TRP only needs to report the additional paths that are within a time span started from the first detected path.</w:t>
      </w:r>
    </w:p>
    <w:p>
      <w:pPr>
        <w:numPr>
          <w:ilvl w:val="0"/>
          <w:numId w:val="12"/>
        </w:numPr>
        <w:spacing w:before="180" w:beforeLines="50" w:after="180" w:afterLines="50" w:line="240" w:lineRule="auto"/>
        <w:rPr>
          <w:rFonts w:ascii="Times New Roman" w:hAnsi="Times New Roman" w:eastAsia="宋体"/>
          <w:i/>
          <w:iCs/>
          <w:sz w:val="20"/>
          <w:szCs w:val="20"/>
        </w:rPr>
      </w:pPr>
      <w:r>
        <w:rPr>
          <w:rFonts w:ascii="Times New Roman" w:hAnsi="Times New Roman" w:eastAsia="宋体"/>
          <w:i/>
          <w:iCs/>
          <w:sz w:val="20"/>
          <w:szCs w:val="20"/>
        </w:rPr>
        <w:t>UE/TRP only needs to report the additional paths whose powers are larger than a threshold related to the peak of the power delay profile.</w:t>
      </w:r>
    </w:p>
    <w:p>
      <w:pPr>
        <w:pStyle w:val="2"/>
        <w:snapToGrid w:val="0"/>
        <w:spacing w:before="180" w:beforeLines="50" w:after="180" w:afterLines="50"/>
        <w:ind w:left="431" w:hanging="431"/>
        <w:rPr>
          <w:sz w:val="28"/>
          <w:lang w:val="en-US"/>
        </w:rPr>
      </w:pPr>
      <w:r>
        <w:rPr>
          <w:sz w:val="28"/>
          <w:lang w:val="en-US"/>
        </w:rPr>
        <w:t>References</w:t>
      </w:r>
    </w:p>
    <w:bookmarkEnd w:id="9"/>
    <w:bookmarkEnd w:id="10"/>
    <w:p>
      <w:pPr>
        <w:pStyle w:val="89"/>
        <w:numPr>
          <w:ilvl w:val="0"/>
          <w:numId w:val="13"/>
        </w:numPr>
        <w:snapToGrid w:val="0"/>
        <w:rPr>
          <w:sz w:val="20"/>
          <w:szCs w:val="20"/>
        </w:rPr>
      </w:pPr>
      <w:r>
        <w:rPr>
          <w:sz w:val="20"/>
          <w:szCs w:val="20"/>
        </w:rPr>
        <w:t>3GPP TR 38.857 V17.0.0 (2021-03), Study on NR Positioning Enhancements;</w:t>
      </w:r>
      <w:r>
        <w:rPr>
          <w:rFonts w:hint="eastAsia"/>
          <w:sz w:val="20"/>
          <w:szCs w:val="20"/>
        </w:rPr>
        <w:t xml:space="preserve"> </w:t>
      </w:r>
      <w:r>
        <w:rPr>
          <w:sz w:val="20"/>
          <w:szCs w:val="20"/>
        </w:rPr>
        <w:t>(Release 17)</w:t>
      </w:r>
    </w:p>
    <w:p>
      <w:pPr>
        <w:pStyle w:val="89"/>
        <w:numPr>
          <w:ilvl w:val="0"/>
          <w:numId w:val="13"/>
        </w:numPr>
        <w:snapToGrid w:val="0"/>
        <w:rPr>
          <w:sz w:val="20"/>
          <w:szCs w:val="20"/>
        </w:rPr>
      </w:pPr>
      <w:r>
        <w:rPr>
          <w:sz w:val="20"/>
          <w:szCs w:val="20"/>
        </w:rPr>
        <w:t>RP-210903</w:t>
      </w:r>
      <w:r>
        <w:rPr>
          <w:rFonts w:hint="eastAsia"/>
          <w:sz w:val="20"/>
          <w:szCs w:val="20"/>
        </w:rPr>
        <w:t xml:space="preserve"> Revised WID on NR Positioning Enhancements, Intel Corporation, CATT</w:t>
      </w:r>
    </w:p>
    <w:p>
      <w:pPr>
        <w:pStyle w:val="89"/>
        <w:numPr>
          <w:ilvl w:val="0"/>
          <w:numId w:val="13"/>
        </w:numPr>
        <w:snapToGrid w:val="0"/>
        <w:rPr>
          <w:sz w:val="20"/>
          <w:szCs w:val="20"/>
        </w:rPr>
      </w:pPr>
      <w:r>
        <w:rPr>
          <w:rFonts w:hint="eastAsia"/>
          <w:sz w:val="20"/>
          <w:szCs w:val="20"/>
        </w:rPr>
        <w:t>Draft Report of 3GPP TSG RAN WG1 #106-e v0.1.0</w:t>
      </w:r>
    </w:p>
    <w:p>
      <w:pPr>
        <w:pStyle w:val="89"/>
        <w:snapToGrid w:val="0"/>
        <w:rPr>
          <w:sz w:val="20"/>
          <w:szCs w:val="20"/>
          <w:lang w:val="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altName w:val="Malgun Gothic"/>
    <w:panose1 w:val="020B0600000101010101"/>
    <w:charset w:val="81"/>
    <w:family w:val="roman"/>
    <w:pitch w:val="default"/>
    <w:sig w:usb0="00000000" w:usb1="00000000" w:usb2="00000010" w:usb3="00000000" w:csb0="00080000" w:csb1="00000000"/>
  </w:font>
  <w:font w:name="BatangChe">
    <w:altName w:val="Malgun Gothic"/>
    <w:panose1 w:val="00000000000000000000"/>
    <w:charset w:val="81"/>
    <w:family w:val="auto"/>
    <w:pitch w:val="default"/>
    <w:sig w:usb0="00000000" w:usb1="00000000" w:usb2="00000030" w:usb3="00000000" w:csb0="4008009F" w:csb1="DFD7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tentative="0">
      <w:start w:val="1"/>
      <w:numFmt w:val="decimal"/>
      <w:suff w:val="space"/>
      <w:lvlText w:val="[%1]"/>
      <w:lvlJc w:val="left"/>
    </w:lvl>
  </w:abstractNum>
  <w:abstractNum w:abstractNumId="1">
    <w:nsid w:val="121A21B3"/>
    <w:multiLevelType w:val="multilevel"/>
    <w:tmpl w:val="121A21B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31B8D59"/>
    <w:multiLevelType w:val="singleLevel"/>
    <w:tmpl w:val="131B8D59"/>
    <w:lvl w:ilvl="0" w:tentative="0">
      <w:start w:val="1"/>
      <w:numFmt w:val="bullet"/>
      <w:lvlText w:val="•"/>
      <w:lvlJc w:val="left"/>
      <w:pPr>
        <w:ind w:left="420" w:hanging="420"/>
      </w:pPr>
      <w:rPr>
        <w:rFonts w:hint="default" w:ascii="BatangChe" w:hAnsi="BatangChe" w:eastAsia="BatangChe" w:cs="BatangChe"/>
      </w:rPr>
    </w:lvl>
  </w:abstractNum>
  <w:abstractNum w:abstractNumId="3">
    <w:nsid w:val="21254C58"/>
    <w:multiLevelType w:val="multilevel"/>
    <w:tmpl w:val="21254C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BB97988"/>
    <w:multiLevelType w:val="multilevel"/>
    <w:tmpl w:val="3BB979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B8E3BEC"/>
    <w:multiLevelType w:val="multilevel"/>
    <w:tmpl w:val="4B8E3BEC"/>
    <w:lvl w:ilvl="0" w:tentative="0">
      <w:start w:val="1"/>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7">
    <w:nsid w:val="65108412"/>
    <w:multiLevelType w:val="singleLevel"/>
    <w:tmpl w:val="65108412"/>
    <w:lvl w:ilvl="0" w:tentative="0">
      <w:start w:val="1"/>
      <w:numFmt w:val="bullet"/>
      <w:pStyle w:val="14"/>
      <w:lvlText w:val=""/>
      <w:lvlJc w:val="left"/>
      <w:pPr>
        <w:tabs>
          <w:tab w:val="left" w:pos="360"/>
        </w:tabs>
        <w:ind w:left="360" w:hanging="360"/>
      </w:pPr>
      <w:rPr>
        <w:rFonts w:hint="default" w:ascii="Wingdings" w:hAnsi="Wingdings"/>
      </w:rPr>
    </w:lvl>
  </w:abstractNum>
  <w:abstractNum w:abstractNumId="8">
    <w:nsid w:val="75231F10"/>
    <w:multiLevelType w:val="multilevel"/>
    <w:tmpl w:val="75231F10"/>
    <w:lvl w:ilvl="0" w:tentative="0">
      <w:start w:val="1"/>
      <w:numFmt w:val="bullet"/>
      <w:lvlText w:val=""/>
      <w:lvlJc w:val="left"/>
      <w:pPr>
        <w:ind w:left="420" w:hanging="420"/>
      </w:pPr>
      <w:rPr>
        <w:rFonts w:hint="default" w:ascii="Wingdings" w:hAnsi="Wingdings"/>
        <w:sz w:val="16"/>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5E23936"/>
    <w:multiLevelType w:val="multilevel"/>
    <w:tmpl w:val="75E239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506954"/>
    <w:multiLevelType w:val="singleLevel"/>
    <w:tmpl w:val="79506954"/>
    <w:lvl w:ilvl="0" w:tentative="0">
      <w:start w:val="1"/>
      <w:numFmt w:val="bullet"/>
      <w:lvlText w:val="∙"/>
      <w:lvlJc w:val="left"/>
      <w:pPr>
        <w:ind w:left="420" w:hanging="420"/>
      </w:pPr>
      <w:rPr>
        <w:rFonts w:hint="default" w:ascii="Arial" w:hAnsi="Arial" w:cs="Arial"/>
      </w:rPr>
    </w:lvl>
  </w:abstractNum>
  <w:abstractNum w:abstractNumId="11">
    <w:nsid w:val="7EFFD573"/>
    <w:multiLevelType w:val="singleLevel"/>
    <w:tmpl w:val="7EFFD573"/>
    <w:lvl w:ilvl="0" w:tentative="0">
      <w:start w:val="1"/>
      <w:numFmt w:val="bullet"/>
      <w:lvlText w:val="−"/>
      <w:lvlJc w:val="left"/>
      <w:pPr>
        <w:ind w:left="420" w:hanging="420"/>
      </w:pPr>
      <w:rPr>
        <w:rFonts w:hint="default" w:ascii="Arial" w:hAnsi="Arial" w:cs="Arial"/>
      </w:rPr>
    </w:lvl>
  </w:abstractNum>
  <w:abstractNum w:abstractNumId="12">
    <w:nsid w:val="7F02372F"/>
    <w:multiLevelType w:val="multilevel"/>
    <w:tmpl w:val="7F0237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7"/>
  </w:num>
  <w:num w:numId="3">
    <w:abstractNumId w:val="2"/>
  </w:num>
  <w:num w:numId="4">
    <w:abstractNumId w:val="12"/>
  </w:num>
  <w:num w:numId="5">
    <w:abstractNumId w:val="4"/>
  </w:num>
  <w:num w:numId="6">
    <w:abstractNumId w:val="5"/>
  </w:num>
  <w:num w:numId="7">
    <w:abstractNumId w:val="1"/>
  </w:num>
  <w:num w:numId="8">
    <w:abstractNumId w:val="3"/>
  </w:num>
  <w:num w:numId="9">
    <w:abstractNumId w:val="9"/>
  </w:num>
  <w:num w:numId="10">
    <w:abstractNumId w:val="11"/>
  </w:num>
  <w:num w:numId="11">
    <w:abstractNumId w:val="8"/>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trackRevisions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5F"/>
    <w:rsid w:val="00003933"/>
    <w:rsid w:val="000039EF"/>
    <w:rsid w:val="00003B1A"/>
    <w:rsid w:val="0000404A"/>
    <w:rsid w:val="000042BE"/>
    <w:rsid w:val="000047CE"/>
    <w:rsid w:val="00004C4A"/>
    <w:rsid w:val="00004CE7"/>
    <w:rsid w:val="00005308"/>
    <w:rsid w:val="0000535F"/>
    <w:rsid w:val="0000567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1AA"/>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B9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E"/>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004"/>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540"/>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079"/>
    <w:rsid w:val="000B01BE"/>
    <w:rsid w:val="000B03D8"/>
    <w:rsid w:val="000B0608"/>
    <w:rsid w:val="000B0953"/>
    <w:rsid w:val="000B0EB3"/>
    <w:rsid w:val="000B0F7A"/>
    <w:rsid w:val="000B10D9"/>
    <w:rsid w:val="000B18E5"/>
    <w:rsid w:val="000B1BC4"/>
    <w:rsid w:val="000B2006"/>
    <w:rsid w:val="000B207B"/>
    <w:rsid w:val="000B21E0"/>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FC3"/>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40A"/>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F20"/>
    <w:rsid w:val="00107175"/>
    <w:rsid w:val="00107183"/>
    <w:rsid w:val="001071DF"/>
    <w:rsid w:val="00107362"/>
    <w:rsid w:val="00107BCF"/>
    <w:rsid w:val="00107BE0"/>
    <w:rsid w:val="00110103"/>
    <w:rsid w:val="001102E6"/>
    <w:rsid w:val="00110631"/>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62B"/>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95C"/>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33F"/>
    <w:rsid w:val="00154568"/>
    <w:rsid w:val="001545E9"/>
    <w:rsid w:val="00154913"/>
    <w:rsid w:val="00154CC4"/>
    <w:rsid w:val="00154D9C"/>
    <w:rsid w:val="00154E83"/>
    <w:rsid w:val="0015525E"/>
    <w:rsid w:val="001553BC"/>
    <w:rsid w:val="00155887"/>
    <w:rsid w:val="0015592A"/>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C1D"/>
    <w:rsid w:val="00170EF0"/>
    <w:rsid w:val="00170F55"/>
    <w:rsid w:val="0017103E"/>
    <w:rsid w:val="00171677"/>
    <w:rsid w:val="00171776"/>
    <w:rsid w:val="001719BD"/>
    <w:rsid w:val="001719E3"/>
    <w:rsid w:val="00171D82"/>
    <w:rsid w:val="00171EE9"/>
    <w:rsid w:val="00172053"/>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4D0"/>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C83"/>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47"/>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5F1"/>
    <w:rsid w:val="003A3973"/>
    <w:rsid w:val="003A3A84"/>
    <w:rsid w:val="003A4154"/>
    <w:rsid w:val="003A421C"/>
    <w:rsid w:val="003A421D"/>
    <w:rsid w:val="003A4640"/>
    <w:rsid w:val="003A4943"/>
    <w:rsid w:val="003A498F"/>
    <w:rsid w:val="003A4B6B"/>
    <w:rsid w:val="003A4D43"/>
    <w:rsid w:val="003A4E7D"/>
    <w:rsid w:val="003A4ECF"/>
    <w:rsid w:val="003A527C"/>
    <w:rsid w:val="003A5382"/>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B6"/>
    <w:rsid w:val="003D629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1BD2"/>
    <w:rsid w:val="003E2253"/>
    <w:rsid w:val="003E233C"/>
    <w:rsid w:val="003E2523"/>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50"/>
    <w:rsid w:val="003E58DD"/>
    <w:rsid w:val="003E5A28"/>
    <w:rsid w:val="003E5F66"/>
    <w:rsid w:val="003E5F7E"/>
    <w:rsid w:val="003E62C6"/>
    <w:rsid w:val="003E65DD"/>
    <w:rsid w:val="003E6895"/>
    <w:rsid w:val="003E6A88"/>
    <w:rsid w:val="003E6B10"/>
    <w:rsid w:val="003E6B51"/>
    <w:rsid w:val="003E73CF"/>
    <w:rsid w:val="003E7426"/>
    <w:rsid w:val="003E75E4"/>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12"/>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A6D"/>
    <w:rsid w:val="00450C00"/>
    <w:rsid w:val="00450C84"/>
    <w:rsid w:val="00450F6F"/>
    <w:rsid w:val="00451A38"/>
    <w:rsid w:val="00451ACA"/>
    <w:rsid w:val="00451ADC"/>
    <w:rsid w:val="00452176"/>
    <w:rsid w:val="0045219E"/>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A88"/>
    <w:rsid w:val="00480BA5"/>
    <w:rsid w:val="00481174"/>
    <w:rsid w:val="004811D5"/>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5E23"/>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1F0"/>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1B"/>
    <w:rsid w:val="0051594B"/>
    <w:rsid w:val="00515974"/>
    <w:rsid w:val="00515CFE"/>
    <w:rsid w:val="00515DAB"/>
    <w:rsid w:val="00515E02"/>
    <w:rsid w:val="005160BB"/>
    <w:rsid w:val="005163E6"/>
    <w:rsid w:val="0051665E"/>
    <w:rsid w:val="0051673C"/>
    <w:rsid w:val="00516D7B"/>
    <w:rsid w:val="00517196"/>
    <w:rsid w:val="0051786E"/>
    <w:rsid w:val="005178BF"/>
    <w:rsid w:val="00517994"/>
    <w:rsid w:val="00517BEC"/>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0C26"/>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0E1"/>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57E"/>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5E23"/>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02"/>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0FDC"/>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40"/>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D5B"/>
    <w:rsid w:val="006E50BC"/>
    <w:rsid w:val="006E50F8"/>
    <w:rsid w:val="006E5101"/>
    <w:rsid w:val="006E5437"/>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8BF"/>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0C6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11D3"/>
    <w:rsid w:val="007312C3"/>
    <w:rsid w:val="007318AC"/>
    <w:rsid w:val="00731A9B"/>
    <w:rsid w:val="00731AC4"/>
    <w:rsid w:val="00731D3A"/>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8E7"/>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015"/>
    <w:rsid w:val="007B764E"/>
    <w:rsid w:val="007B77F2"/>
    <w:rsid w:val="007B7C4F"/>
    <w:rsid w:val="007B7DA0"/>
    <w:rsid w:val="007B7F08"/>
    <w:rsid w:val="007B7F65"/>
    <w:rsid w:val="007C066E"/>
    <w:rsid w:val="007C0698"/>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3C"/>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FD5"/>
    <w:rsid w:val="00843AE2"/>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86B"/>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3B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BE6"/>
    <w:rsid w:val="008B5C49"/>
    <w:rsid w:val="008B5CB8"/>
    <w:rsid w:val="008B5EA6"/>
    <w:rsid w:val="008B61D8"/>
    <w:rsid w:val="008B6751"/>
    <w:rsid w:val="008B6ABA"/>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157"/>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349"/>
    <w:rsid w:val="00942527"/>
    <w:rsid w:val="009425F7"/>
    <w:rsid w:val="00942809"/>
    <w:rsid w:val="00942EE6"/>
    <w:rsid w:val="00942F2A"/>
    <w:rsid w:val="00942F41"/>
    <w:rsid w:val="00943004"/>
    <w:rsid w:val="00943811"/>
    <w:rsid w:val="00943B2D"/>
    <w:rsid w:val="00943C89"/>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6C3C"/>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B63"/>
    <w:rsid w:val="00994F04"/>
    <w:rsid w:val="009950B1"/>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C26"/>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06"/>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AAA"/>
    <w:rsid w:val="009E1B7A"/>
    <w:rsid w:val="009E1B85"/>
    <w:rsid w:val="009E2AF5"/>
    <w:rsid w:val="009E2B7A"/>
    <w:rsid w:val="009E2E20"/>
    <w:rsid w:val="009E304E"/>
    <w:rsid w:val="009E3151"/>
    <w:rsid w:val="009E3590"/>
    <w:rsid w:val="009E36BC"/>
    <w:rsid w:val="009E3BFB"/>
    <w:rsid w:val="009E3E5E"/>
    <w:rsid w:val="009E45EA"/>
    <w:rsid w:val="009E47CE"/>
    <w:rsid w:val="009E4A2D"/>
    <w:rsid w:val="009E50C1"/>
    <w:rsid w:val="009E51DE"/>
    <w:rsid w:val="009E53B3"/>
    <w:rsid w:val="009E54FA"/>
    <w:rsid w:val="009E5596"/>
    <w:rsid w:val="009E55CA"/>
    <w:rsid w:val="009E5724"/>
    <w:rsid w:val="009E5AC3"/>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6A1"/>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D6C"/>
    <w:rsid w:val="00A52DB8"/>
    <w:rsid w:val="00A5307C"/>
    <w:rsid w:val="00A5329B"/>
    <w:rsid w:val="00A53473"/>
    <w:rsid w:val="00A537A1"/>
    <w:rsid w:val="00A537E9"/>
    <w:rsid w:val="00A53B83"/>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762"/>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7FF"/>
    <w:rsid w:val="00A76A03"/>
    <w:rsid w:val="00A76EF5"/>
    <w:rsid w:val="00A770D3"/>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3F7"/>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B17"/>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B5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F2E"/>
    <w:rsid w:val="00AF2158"/>
    <w:rsid w:val="00AF2177"/>
    <w:rsid w:val="00AF22E5"/>
    <w:rsid w:val="00AF22E6"/>
    <w:rsid w:val="00AF25AC"/>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338"/>
    <w:rsid w:val="00B0650F"/>
    <w:rsid w:val="00B06AFE"/>
    <w:rsid w:val="00B0703E"/>
    <w:rsid w:val="00B07357"/>
    <w:rsid w:val="00B077AD"/>
    <w:rsid w:val="00B0785E"/>
    <w:rsid w:val="00B078D6"/>
    <w:rsid w:val="00B07AC8"/>
    <w:rsid w:val="00B07B03"/>
    <w:rsid w:val="00B07E5D"/>
    <w:rsid w:val="00B10482"/>
    <w:rsid w:val="00B1055A"/>
    <w:rsid w:val="00B106EC"/>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1CDC"/>
    <w:rsid w:val="00B32605"/>
    <w:rsid w:val="00B32655"/>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9C"/>
    <w:rsid w:val="00B751F9"/>
    <w:rsid w:val="00B759BD"/>
    <w:rsid w:val="00B75C59"/>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8A8"/>
    <w:rsid w:val="00B80940"/>
    <w:rsid w:val="00B80C6F"/>
    <w:rsid w:val="00B80D84"/>
    <w:rsid w:val="00B80D99"/>
    <w:rsid w:val="00B815B7"/>
    <w:rsid w:val="00B8162A"/>
    <w:rsid w:val="00B816F2"/>
    <w:rsid w:val="00B81CF8"/>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4FA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D30"/>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558"/>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6B"/>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2D0"/>
    <w:rsid w:val="00C763E5"/>
    <w:rsid w:val="00C76615"/>
    <w:rsid w:val="00C7666B"/>
    <w:rsid w:val="00C76A19"/>
    <w:rsid w:val="00C76AA8"/>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0FF"/>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3B4"/>
    <w:rsid w:val="00CF76A4"/>
    <w:rsid w:val="00CF7713"/>
    <w:rsid w:val="00CF77C4"/>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3C4"/>
    <w:rsid w:val="00D31866"/>
    <w:rsid w:val="00D31B98"/>
    <w:rsid w:val="00D31D04"/>
    <w:rsid w:val="00D32151"/>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223"/>
    <w:rsid w:val="00DA24EF"/>
    <w:rsid w:val="00DA27AD"/>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C1"/>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4AA"/>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71"/>
    <w:rsid w:val="00E04E48"/>
    <w:rsid w:val="00E055D1"/>
    <w:rsid w:val="00E055D8"/>
    <w:rsid w:val="00E05A08"/>
    <w:rsid w:val="00E05DDE"/>
    <w:rsid w:val="00E06175"/>
    <w:rsid w:val="00E062FE"/>
    <w:rsid w:val="00E0652B"/>
    <w:rsid w:val="00E067A4"/>
    <w:rsid w:val="00E0696B"/>
    <w:rsid w:val="00E06BD7"/>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7F6"/>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CCC"/>
    <w:rsid w:val="00E53F04"/>
    <w:rsid w:val="00E541BF"/>
    <w:rsid w:val="00E541E6"/>
    <w:rsid w:val="00E54300"/>
    <w:rsid w:val="00E54390"/>
    <w:rsid w:val="00E549FC"/>
    <w:rsid w:val="00E54AB3"/>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2CC"/>
    <w:rsid w:val="00E7445F"/>
    <w:rsid w:val="00E74700"/>
    <w:rsid w:val="00E74721"/>
    <w:rsid w:val="00E74736"/>
    <w:rsid w:val="00E74908"/>
    <w:rsid w:val="00E74A04"/>
    <w:rsid w:val="00E74BE6"/>
    <w:rsid w:val="00E755A5"/>
    <w:rsid w:val="00E7563D"/>
    <w:rsid w:val="00E75B2C"/>
    <w:rsid w:val="00E75D2E"/>
    <w:rsid w:val="00E75F51"/>
    <w:rsid w:val="00E765C3"/>
    <w:rsid w:val="00E76856"/>
    <w:rsid w:val="00E768A0"/>
    <w:rsid w:val="00E76F07"/>
    <w:rsid w:val="00E77495"/>
    <w:rsid w:val="00E7762A"/>
    <w:rsid w:val="00E778C8"/>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9ED"/>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C85"/>
    <w:rsid w:val="00EA2F85"/>
    <w:rsid w:val="00EA3110"/>
    <w:rsid w:val="00EA319D"/>
    <w:rsid w:val="00EA3261"/>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44E"/>
    <w:rsid w:val="00F005C6"/>
    <w:rsid w:val="00F006B0"/>
    <w:rsid w:val="00F0088F"/>
    <w:rsid w:val="00F0095A"/>
    <w:rsid w:val="00F0096D"/>
    <w:rsid w:val="00F00CC2"/>
    <w:rsid w:val="00F00CC3"/>
    <w:rsid w:val="00F00E26"/>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C85"/>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36"/>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89"/>
    <w:rsid w:val="00FB64C5"/>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4D5"/>
    <w:rsid w:val="00FC4BFC"/>
    <w:rsid w:val="00FC4C65"/>
    <w:rsid w:val="00FC4DD3"/>
    <w:rsid w:val="00FC4EE3"/>
    <w:rsid w:val="00FC4F58"/>
    <w:rsid w:val="00FC4FE2"/>
    <w:rsid w:val="00FC52D4"/>
    <w:rsid w:val="00FC586C"/>
    <w:rsid w:val="00FC5B62"/>
    <w:rsid w:val="00FC67BF"/>
    <w:rsid w:val="00FC6A5C"/>
    <w:rsid w:val="00FC6F7B"/>
    <w:rsid w:val="00FC7350"/>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674"/>
    <w:rsid w:val="00FD7DD9"/>
    <w:rsid w:val="00FD7EDF"/>
    <w:rsid w:val="00FD7F74"/>
    <w:rsid w:val="00FE040A"/>
    <w:rsid w:val="00FE048C"/>
    <w:rsid w:val="00FE05B4"/>
    <w:rsid w:val="00FE07E6"/>
    <w:rsid w:val="00FE089E"/>
    <w:rsid w:val="00FE0A42"/>
    <w:rsid w:val="00FE0C19"/>
    <w:rsid w:val="00FE0C3D"/>
    <w:rsid w:val="00FE0E64"/>
    <w:rsid w:val="00FE10D4"/>
    <w:rsid w:val="00FE1350"/>
    <w:rsid w:val="00FE1449"/>
    <w:rsid w:val="00FE1499"/>
    <w:rsid w:val="00FE14A9"/>
    <w:rsid w:val="00FE1704"/>
    <w:rsid w:val="00FE1894"/>
    <w:rsid w:val="00FE18C3"/>
    <w:rsid w:val="00FE1C57"/>
    <w:rsid w:val="00FE23AA"/>
    <w:rsid w:val="00FE2571"/>
    <w:rsid w:val="00FE2615"/>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579"/>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403"/>
    <w:rsid w:val="00FF1534"/>
    <w:rsid w:val="00FF1558"/>
    <w:rsid w:val="00FF157E"/>
    <w:rsid w:val="00FF19A4"/>
    <w:rsid w:val="00FF1CA6"/>
    <w:rsid w:val="00FF221A"/>
    <w:rsid w:val="00FF2374"/>
    <w:rsid w:val="00FF23EA"/>
    <w:rsid w:val="00FF2585"/>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760D5"/>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334938"/>
    <w:rsid w:val="0333596C"/>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37667"/>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72B93"/>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4616C"/>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70DB9"/>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C7490"/>
    <w:rsid w:val="0A2D6676"/>
    <w:rsid w:val="0A302E0F"/>
    <w:rsid w:val="0A346F85"/>
    <w:rsid w:val="0A3955E8"/>
    <w:rsid w:val="0A3A062B"/>
    <w:rsid w:val="0A3C16AE"/>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8E5505"/>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666D"/>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15F8A"/>
    <w:rsid w:val="0E954083"/>
    <w:rsid w:val="0E961603"/>
    <w:rsid w:val="0E983633"/>
    <w:rsid w:val="0EA27901"/>
    <w:rsid w:val="0EA34295"/>
    <w:rsid w:val="0EAA73B4"/>
    <w:rsid w:val="0EB043E6"/>
    <w:rsid w:val="0EB0495D"/>
    <w:rsid w:val="0EB21A5E"/>
    <w:rsid w:val="0EB255FF"/>
    <w:rsid w:val="0EB66E2D"/>
    <w:rsid w:val="0EB71E64"/>
    <w:rsid w:val="0EB73A87"/>
    <w:rsid w:val="0EB96A82"/>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D5DFD"/>
    <w:rsid w:val="0F8012E7"/>
    <w:rsid w:val="0F8116C6"/>
    <w:rsid w:val="0F8B45C8"/>
    <w:rsid w:val="0F8B4E90"/>
    <w:rsid w:val="0F8D3CC2"/>
    <w:rsid w:val="0F9228AC"/>
    <w:rsid w:val="0F927670"/>
    <w:rsid w:val="0F936B57"/>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41BA8"/>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67417"/>
    <w:rsid w:val="12A8272F"/>
    <w:rsid w:val="12AA7C2D"/>
    <w:rsid w:val="12AC2445"/>
    <w:rsid w:val="12B10B99"/>
    <w:rsid w:val="12B177F0"/>
    <w:rsid w:val="12B209E5"/>
    <w:rsid w:val="12B31244"/>
    <w:rsid w:val="12B43E24"/>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AE5078"/>
    <w:rsid w:val="14B03AF1"/>
    <w:rsid w:val="14B04A2F"/>
    <w:rsid w:val="14B3042E"/>
    <w:rsid w:val="14B63D6A"/>
    <w:rsid w:val="14B872BA"/>
    <w:rsid w:val="14BF672C"/>
    <w:rsid w:val="14C209A7"/>
    <w:rsid w:val="14C453B3"/>
    <w:rsid w:val="14C569D9"/>
    <w:rsid w:val="14C65E96"/>
    <w:rsid w:val="14CA27FE"/>
    <w:rsid w:val="14CB0124"/>
    <w:rsid w:val="14D031DA"/>
    <w:rsid w:val="14D1156B"/>
    <w:rsid w:val="14D1229A"/>
    <w:rsid w:val="14D141D7"/>
    <w:rsid w:val="14D426CB"/>
    <w:rsid w:val="14D5012B"/>
    <w:rsid w:val="14D906D3"/>
    <w:rsid w:val="14E46110"/>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C454B"/>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3264B"/>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84812"/>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C5D46"/>
    <w:rsid w:val="190E24A2"/>
    <w:rsid w:val="190F1397"/>
    <w:rsid w:val="190F246E"/>
    <w:rsid w:val="1910107B"/>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50A42"/>
    <w:rsid w:val="19767890"/>
    <w:rsid w:val="197C33E6"/>
    <w:rsid w:val="197E4EC9"/>
    <w:rsid w:val="198A317C"/>
    <w:rsid w:val="198A5B9B"/>
    <w:rsid w:val="198E504F"/>
    <w:rsid w:val="198E7CC2"/>
    <w:rsid w:val="199123E3"/>
    <w:rsid w:val="19926290"/>
    <w:rsid w:val="19935571"/>
    <w:rsid w:val="199628D2"/>
    <w:rsid w:val="1997041E"/>
    <w:rsid w:val="19977F1D"/>
    <w:rsid w:val="19982CD4"/>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03E93"/>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573CE"/>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1E13C3"/>
    <w:rsid w:val="1C23366C"/>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31072"/>
    <w:rsid w:val="1C553AF0"/>
    <w:rsid w:val="1C55783B"/>
    <w:rsid w:val="1C606999"/>
    <w:rsid w:val="1C6479C6"/>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B3CAA"/>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D23B0"/>
    <w:rsid w:val="1DAF513F"/>
    <w:rsid w:val="1DB33C53"/>
    <w:rsid w:val="1DB447C8"/>
    <w:rsid w:val="1DB80A24"/>
    <w:rsid w:val="1DBA16E3"/>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C46A1"/>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3BFA"/>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550A0"/>
    <w:rsid w:val="22E6776A"/>
    <w:rsid w:val="22E8566B"/>
    <w:rsid w:val="22EA6268"/>
    <w:rsid w:val="22EA7FB3"/>
    <w:rsid w:val="22ED1151"/>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75DB5"/>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02E0"/>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06CA1"/>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E7EC5"/>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53F8"/>
    <w:rsid w:val="27B47525"/>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65C5D"/>
    <w:rsid w:val="283A2E58"/>
    <w:rsid w:val="28410CFF"/>
    <w:rsid w:val="284154C8"/>
    <w:rsid w:val="28453EC7"/>
    <w:rsid w:val="28466D69"/>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B6F42"/>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579B2"/>
    <w:rsid w:val="2B382599"/>
    <w:rsid w:val="2B3B3334"/>
    <w:rsid w:val="2B400B63"/>
    <w:rsid w:val="2B416705"/>
    <w:rsid w:val="2B4564CE"/>
    <w:rsid w:val="2B462330"/>
    <w:rsid w:val="2B4B0050"/>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CD3613"/>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36F22"/>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145"/>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A731A"/>
    <w:rsid w:val="2E4C424D"/>
    <w:rsid w:val="2E5024D8"/>
    <w:rsid w:val="2E5C4F9B"/>
    <w:rsid w:val="2E605AE6"/>
    <w:rsid w:val="2E643BF9"/>
    <w:rsid w:val="2E660A34"/>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04CAE"/>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2486A"/>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665DD"/>
    <w:rsid w:val="34DB4F48"/>
    <w:rsid w:val="34DC68C6"/>
    <w:rsid w:val="34E755E0"/>
    <w:rsid w:val="34E86316"/>
    <w:rsid w:val="34E95C2F"/>
    <w:rsid w:val="34EA52C6"/>
    <w:rsid w:val="34EE3576"/>
    <w:rsid w:val="34F020FF"/>
    <w:rsid w:val="34F063FE"/>
    <w:rsid w:val="34F17EC9"/>
    <w:rsid w:val="34FA344D"/>
    <w:rsid w:val="34FB1397"/>
    <w:rsid w:val="34FF7FD7"/>
    <w:rsid w:val="35005469"/>
    <w:rsid w:val="35017F79"/>
    <w:rsid w:val="3507408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77C21"/>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5226E"/>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B7E56"/>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73AA8"/>
    <w:rsid w:val="3C783F6C"/>
    <w:rsid w:val="3C7A543E"/>
    <w:rsid w:val="3C7C68CA"/>
    <w:rsid w:val="3C7F3850"/>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6B3F"/>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DF1194"/>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124A0"/>
    <w:rsid w:val="3F0815F1"/>
    <w:rsid w:val="3F0B388C"/>
    <w:rsid w:val="3F0C0BE0"/>
    <w:rsid w:val="3F0D0365"/>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5F1E71"/>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1AF"/>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B283F"/>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7446"/>
    <w:rsid w:val="411E4103"/>
    <w:rsid w:val="4125135B"/>
    <w:rsid w:val="4126297D"/>
    <w:rsid w:val="412911E8"/>
    <w:rsid w:val="412A3388"/>
    <w:rsid w:val="412D1CA7"/>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90F3D"/>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77B55"/>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32015"/>
    <w:rsid w:val="48446F23"/>
    <w:rsid w:val="484E0854"/>
    <w:rsid w:val="48517833"/>
    <w:rsid w:val="48535901"/>
    <w:rsid w:val="48542AD8"/>
    <w:rsid w:val="48576F86"/>
    <w:rsid w:val="485B7A09"/>
    <w:rsid w:val="48601F1B"/>
    <w:rsid w:val="4860234E"/>
    <w:rsid w:val="48615B6E"/>
    <w:rsid w:val="48635DDB"/>
    <w:rsid w:val="486457B8"/>
    <w:rsid w:val="486C2522"/>
    <w:rsid w:val="486F23BB"/>
    <w:rsid w:val="486F725D"/>
    <w:rsid w:val="4872228E"/>
    <w:rsid w:val="48727E06"/>
    <w:rsid w:val="48761D32"/>
    <w:rsid w:val="48880174"/>
    <w:rsid w:val="488811AB"/>
    <w:rsid w:val="488F67AB"/>
    <w:rsid w:val="48915121"/>
    <w:rsid w:val="48946E42"/>
    <w:rsid w:val="4896002B"/>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BF67E5"/>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58C4"/>
    <w:rsid w:val="496B472D"/>
    <w:rsid w:val="496F6C3C"/>
    <w:rsid w:val="49704B16"/>
    <w:rsid w:val="49733329"/>
    <w:rsid w:val="497C4012"/>
    <w:rsid w:val="49801BB7"/>
    <w:rsid w:val="49806636"/>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A24FF"/>
    <w:rsid w:val="4A8D167D"/>
    <w:rsid w:val="4A8E1531"/>
    <w:rsid w:val="4A8E378D"/>
    <w:rsid w:val="4A910C23"/>
    <w:rsid w:val="4A966E56"/>
    <w:rsid w:val="4A974D5B"/>
    <w:rsid w:val="4A997F8F"/>
    <w:rsid w:val="4A9A2AFD"/>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B7BEF"/>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305EB"/>
    <w:rsid w:val="4B643275"/>
    <w:rsid w:val="4B687FD4"/>
    <w:rsid w:val="4B741C5B"/>
    <w:rsid w:val="4B7831B7"/>
    <w:rsid w:val="4B811257"/>
    <w:rsid w:val="4B816D3B"/>
    <w:rsid w:val="4B821B36"/>
    <w:rsid w:val="4B827CCC"/>
    <w:rsid w:val="4B83233B"/>
    <w:rsid w:val="4B8A674C"/>
    <w:rsid w:val="4B8F2EB1"/>
    <w:rsid w:val="4B924EC9"/>
    <w:rsid w:val="4B9419F7"/>
    <w:rsid w:val="4B9470E1"/>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12D19"/>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A3091"/>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06A40"/>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601C3"/>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4D7226"/>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E4E3D"/>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43878"/>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A83C17"/>
    <w:rsid w:val="55A86FBD"/>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3287"/>
    <w:rsid w:val="562C48A4"/>
    <w:rsid w:val="562E289A"/>
    <w:rsid w:val="56316AE5"/>
    <w:rsid w:val="5632588F"/>
    <w:rsid w:val="5635337A"/>
    <w:rsid w:val="5639222C"/>
    <w:rsid w:val="563B1048"/>
    <w:rsid w:val="563B6B45"/>
    <w:rsid w:val="563C00A1"/>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83154"/>
    <w:rsid w:val="578F659F"/>
    <w:rsid w:val="57904A51"/>
    <w:rsid w:val="57910A21"/>
    <w:rsid w:val="57914F06"/>
    <w:rsid w:val="57927A38"/>
    <w:rsid w:val="579402F1"/>
    <w:rsid w:val="57945000"/>
    <w:rsid w:val="5795251B"/>
    <w:rsid w:val="579677D0"/>
    <w:rsid w:val="57984454"/>
    <w:rsid w:val="57991D0D"/>
    <w:rsid w:val="579A7213"/>
    <w:rsid w:val="579C47BB"/>
    <w:rsid w:val="579D6CE4"/>
    <w:rsid w:val="579F608F"/>
    <w:rsid w:val="57A02049"/>
    <w:rsid w:val="57A14D1F"/>
    <w:rsid w:val="57A83EEE"/>
    <w:rsid w:val="57A91D3B"/>
    <w:rsid w:val="57AD29A6"/>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56432"/>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6062C"/>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5EE7"/>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6F344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541C0"/>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4B2851"/>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91205"/>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A06EB3"/>
    <w:rsid w:val="5EA140CB"/>
    <w:rsid w:val="5EA56B28"/>
    <w:rsid w:val="5EA6479B"/>
    <w:rsid w:val="5EA75FF4"/>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65990"/>
    <w:rsid w:val="5FBD61BC"/>
    <w:rsid w:val="5FBF330D"/>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94BE8"/>
    <w:rsid w:val="605F164B"/>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1B50A3"/>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61AEC"/>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27362"/>
    <w:rsid w:val="636A0F15"/>
    <w:rsid w:val="636B6090"/>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77868"/>
    <w:rsid w:val="63BD439C"/>
    <w:rsid w:val="63BD5BBB"/>
    <w:rsid w:val="63C0331D"/>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BE7AC1"/>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267E"/>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075F"/>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05B06"/>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B789F"/>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438B"/>
    <w:rsid w:val="6E566306"/>
    <w:rsid w:val="6E5A4474"/>
    <w:rsid w:val="6E60101C"/>
    <w:rsid w:val="6E6121CB"/>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9D2774"/>
    <w:rsid w:val="6EA06D93"/>
    <w:rsid w:val="6EA265AD"/>
    <w:rsid w:val="6EAC2515"/>
    <w:rsid w:val="6EAE21D1"/>
    <w:rsid w:val="6EB51BC3"/>
    <w:rsid w:val="6EB85966"/>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E53AC"/>
    <w:rsid w:val="6EFE5570"/>
    <w:rsid w:val="6EFE6A06"/>
    <w:rsid w:val="6F015907"/>
    <w:rsid w:val="6F092C57"/>
    <w:rsid w:val="6F09508A"/>
    <w:rsid w:val="6F09622E"/>
    <w:rsid w:val="6F0A3B98"/>
    <w:rsid w:val="6F0C47B7"/>
    <w:rsid w:val="6F0D1702"/>
    <w:rsid w:val="6F0E46EF"/>
    <w:rsid w:val="6F1746E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3B0073"/>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D04006"/>
    <w:rsid w:val="72D10367"/>
    <w:rsid w:val="72D133D8"/>
    <w:rsid w:val="72D20C8D"/>
    <w:rsid w:val="72D21E54"/>
    <w:rsid w:val="72D34AA4"/>
    <w:rsid w:val="72D97928"/>
    <w:rsid w:val="72E34F8F"/>
    <w:rsid w:val="72E54B6A"/>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CC2E16"/>
    <w:rsid w:val="74D03534"/>
    <w:rsid w:val="74DD3E9F"/>
    <w:rsid w:val="74DE2595"/>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20701"/>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6478D"/>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13CDA"/>
    <w:rsid w:val="77B349F9"/>
    <w:rsid w:val="77B47AEB"/>
    <w:rsid w:val="77B6601D"/>
    <w:rsid w:val="77BB391E"/>
    <w:rsid w:val="77BE30DF"/>
    <w:rsid w:val="77BF2226"/>
    <w:rsid w:val="77BF6C49"/>
    <w:rsid w:val="77C00C58"/>
    <w:rsid w:val="77C743AA"/>
    <w:rsid w:val="77CE0A81"/>
    <w:rsid w:val="77CE41A8"/>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B5D42"/>
    <w:rsid w:val="795E06F8"/>
    <w:rsid w:val="79620926"/>
    <w:rsid w:val="79651144"/>
    <w:rsid w:val="79652A7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432C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77542"/>
    <w:rsid w:val="7C29156F"/>
    <w:rsid w:val="7C294D90"/>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B7B65"/>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4A93"/>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91EA2"/>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636C2"/>
    <w:rsid w:val="7FE721D8"/>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7"/>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8"/>
    <w:unhideWhenUsed/>
    <w:qFormat/>
    <w:uiPriority w:val="9"/>
    <w:pPr>
      <w:outlineLvl w:val="2"/>
    </w:pPr>
  </w:style>
  <w:style w:type="paragraph" w:styleId="5">
    <w:name w:val="heading 4"/>
    <w:basedOn w:val="4"/>
    <w:next w:val="1"/>
    <w:link w:val="67"/>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8"/>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4"/>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List Bullet"/>
    <w:basedOn w:val="1"/>
    <w:semiHidden/>
    <w:unhideWhenUsed/>
    <w:qFormat/>
    <w:uiPriority w:val="99"/>
    <w:pPr>
      <w:numPr>
        <w:ilvl w:val="0"/>
        <w:numId w:val="2"/>
      </w:numPr>
    </w:pPr>
  </w:style>
  <w:style w:type="paragraph" w:styleId="15">
    <w:name w:val="Document Map"/>
    <w:basedOn w:val="1"/>
    <w:link w:val="42"/>
    <w:unhideWhenUsed/>
    <w:qFormat/>
    <w:uiPriority w:val="99"/>
    <w:rPr>
      <w:rFonts w:ascii="宋体"/>
      <w:sz w:val="18"/>
      <w:szCs w:val="18"/>
    </w:rPr>
  </w:style>
  <w:style w:type="paragraph" w:styleId="16">
    <w:name w:val="annotation text"/>
    <w:basedOn w:val="1"/>
    <w:link w:val="39"/>
    <w:unhideWhenUsed/>
    <w:qFormat/>
    <w:uiPriority w:val="99"/>
    <w:rPr>
      <w:sz w:val="20"/>
      <w:szCs w:val="20"/>
    </w:rPr>
  </w:style>
  <w:style w:type="paragraph" w:styleId="17">
    <w:name w:val="Body Text"/>
    <w:basedOn w:val="1"/>
    <w:link w:val="43"/>
    <w:qFormat/>
    <w:uiPriority w:val="0"/>
    <w:pPr>
      <w:widowControl w:val="0"/>
      <w:spacing w:after="0" w:line="240" w:lineRule="auto"/>
      <w:jc w:val="both"/>
    </w:pPr>
    <w:rPr>
      <w:rFonts w:ascii="Times New Roman" w:hAnsi="Times New Roman"/>
      <w:color w:val="0000FF"/>
      <w:kern w:val="2"/>
      <w:sz w:val="21"/>
      <w:szCs w:val="20"/>
    </w:rPr>
  </w:style>
  <w:style w:type="paragraph" w:styleId="18">
    <w:name w:val="Body Text Indent"/>
    <w:basedOn w:val="1"/>
    <w:link w:val="75"/>
    <w:unhideWhenUsed/>
    <w:qFormat/>
    <w:uiPriority w:val="99"/>
    <w:pPr>
      <w:spacing w:after="120"/>
      <w:ind w:left="360"/>
    </w:pPr>
  </w:style>
  <w:style w:type="paragraph" w:styleId="19">
    <w:name w:val="List 2"/>
    <w:basedOn w:val="1"/>
    <w:unhideWhenUsed/>
    <w:qFormat/>
    <w:uiPriority w:val="99"/>
    <w:pPr>
      <w:ind w:left="100" w:leftChars="200" w:hanging="200" w:hangingChars="200"/>
      <w:contextualSpacing/>
    </w:pPr>
  </w:style>
  <w:style w:type="paragraph" w:styleId="20">
    <w:name w:val="Plain Text"/>
    <w:basedOn w:val="1"/>
    <w:link w:val="61"/>
    <w:unhideWhenUsed/>
    <w:qFormat/>
    <w:uiPriority w:val="99"/>
    <w:pPr>
      <w:spacing w:after="0" w:line="240" w:lineRule="auto"/>
    </w:pPr>
    <w:rPr>
      <w:rFonts w:eastAsia="Calibri"/>
      <w:szCs w:val="21"/>
      <w:lang w:val="en-GB" w:eastAsia="en-US"/>
    </w:rPr>
  </w:style>
  <w:style w:type="paragraph" w:styleId="21">
    <w:name w:val="Date"/>
    <w:basedOn w:val="1"/>
    <w:next w:val="1"/>
    <w:link w:val="55"/>
    <w:unhideWhenUsed/>
    <w:qFormat/>
    <w:uiPriority w:val="99"/>
    <w:pPr>
      <w:ind w:left="100" w:leftChars="2500"/>
    </w:pPr>
  </w:style>
  <w:style w:type="paragraph" w:styleId="22">
    <w:name w:val="Balloon Text"/>
    <w:basedOn w:val="1"/>
    <w:link w:val="41"/>
    <w:unhideWhenUsed/>
    <w:qFormat/>
    <w:uiPriority w:val="99"/>
    <w:pPr>
      <w:spacing w:after="0" w:line="240" w:lineRule="auto"/>
    </w:pPr>
    <w:rPr>
      <w:rFonts w:ascii="Tahoma" w:hAnsi="Tahoma"/>
      <w:sz w:val="16"/>
      <w:szCs w:val="16"/>
    </w:rPr>
  </w:style>
  <w:style w:type="paragraph" w:styleId="23">
    <w:name w:val="footer"/>
    <w:basedOn w:val="1"/>
    <w:link w:val="46"/>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7"/>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List"/>
    <w:basedOn w:val="1"/>
    <w:unhideWhenUsed/>
    <w:qFormat/>
    <w:uiPriority w:val="99"/>
    <w:pPr>
      <w:ind w:left="568" w:hanging="284"/>
    </w:p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6"/>
    <w:next w:val="16"/>
    <w:link w:val="40"/>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basedOn w:val="30"/>
    <w:qFormat/>
    <w:uiPriority w:val="22"/>
    <w:rPr>
      <w:b/>
    </w:rPr>
  </w:style>
  <w:style w:type="character" w:styleId="32">
    <w:name w:val="page number"/>
    <w:basedOn w:val="30"/>
    <w:unhideWhenUsed/>
    <w:qFormat/>
    <w:uiPriority w:val="99"/>
    <w:rPr>
      <w:rFonts w:hint="default"/>
      <w:sz w:val="24"/>
    </w:rPr>
  </w:style>
  <w:style w:type="character" w:styleId="33">
    <w:name w:val="Emphasis"/>
    <w:basedOn w:val="30"/>
    <w:qFormat/>
    <w:uiPriority w:val="20"/>
    <w:rPr>
      <w:i/>
    </w:rPr>
  </w:style>
  <w:style w:type="character" w:styleId="34">
    <w:name w:val="Hyperlink"/>
    <w:unhideWhenUsed/>
    <w:qFormat/>
    <w:uiPriority w:val="99"/>
    <w:rPr>
      <w:color w:val="0000FF"/>
      <w:u w:val="single"/>
    </w:rPr>
  </w:style>
  <w:style w:type="character" w:styleId="35">
    <w:name w:val="annotation reference"/>
    <w:unhideWhenUsed/>
    <w:qFormat/>
    <w:uiPriority w:val="99"/>
    <w:rPr>
      <w:sz w:val="16"/>
      <w:szCs w:val="16"/>
    </w:rPr>
  </w:style>
  <w:style w:type="character" w:customStyle="1" w:styleId="36">
    <w:name w:val="标题 1 Char"/>
    <w:link w:val="2"/>
    <w:qFormat/>
    <w:uiPriority w:val="99"/>
    <w:rPr>
      <w:rFonts w:ascii="Arial" w:hAnsi="Arial" w:eastAsia="黑体"/>
      <w:b/>
      <w:bCs/>
      <w:sz w:val="30"/>
      <w:szCs w:val="30"/>
      <w:lang w:val="zh-CN" w:eastAsia="zh-CN"/>
    </w:rPr>
  </w:style>
  <w:style w:type="character" w:customStyle="1" w:styleId="37">
    <w:name w:val="页眉 Char"/>
    <w:link w:val="24"/>
    <w:qFormat/>
    <w:uiPriority w:val="99"/>
    <w:rPr>
      <w:rFonts w:ascii="Arial" w:hAnsi="Arial" w:eastAsia="MS Mincho"/>
      <w:b/>
      <w:szCs w:val="24"/>
      <w:lang w:eastAsia="en-US"/>
    </w:rPr>
  </w:style>
  <w:style w:type="paragraph" w:customStyle="1" w:styleId="38">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9">
    <w:name w:val="批注文字 Char"/>
    <w:basedOn w:val="30"/>
    <w:link w:val="16"/>
    <w:qFormat/>
    <w:uiPriority w:val="99"/>
  </w:style>
  <w:style w:type="character" w:customStyle="1" w:styleId="40">
    <w:name w:val="批注主题 Char"/>
    <w:link w:val="27"/>
    <w:semiHidden/>
    <w:qFormat/>
    <w:uiPriority w:val="99"/>
    <w:rPr>
      <w:b/>
      <w:bCs/>
    </w:rPr>
  </w:style>
  <w:style w:type="character" w:customStyle="1" w:styleId="41">
    <w:name w:val="批注框文本 Char"/>
    <w:link w:val="22"/>
    <w:semiHidden/>
    <w:qFormat/>
    <w:uiPriority w:val="99"/>
    <w:rPr>
      <w:rFonts w:ascii="Tahoma" w:hAnsi="Tahoma" w:cs="Tahoma"/>
      <w:sz w:val="16"/>
      <w:szCs w:val="16"/>
    </w:rPr>
  </w:style>
  <w:style w:type="character" w:customStyle="1" w:styleId="42">
    <w:name w:val="文档结构图 Char"/>
    <w:link w:val="15"/>
    <w:semiHidden/>
    <w:qFormat/>
    <w:uiPriority w:val="99"/>
    <w:rPr>
      <w:rFonts w:ascii="宋体"/>
      <w:sz w:val="18"/>
      <w:szCs w:val="18"/>
    </w:rPr>
  </w:style>
  <w:style w:type="character" w:customStyle="1" w:styleId="43">
    <w:name w:val="正文文本 Char"/>
    <w:link w:val="17"/>
    <w:qFormat/>
    <w:uiPriority w:val="0"/>
    <w:rPr>
      <w:rFonts w:ascii="Times New Roman" w:hAnsi="Times New Roman"/>
      <w:color w:val="0000FF"/>
      <w:kern w:val="2"/>
      <w:sz w:val="21"/>
    </w:rPr>
  </w:style>
  <w:style w:type="character" w:customStyle="1" w:styleId="44">
    <w:name w:val="题注 Char"/>
    <w:link w:val="13"/>
    <w:qFormat/>
    <w:uiPriority w:val="0"/>
    <w:rPr>
      <w:rFonts w:ascii="Times New Roman" w:hAnsi="Times New Roman"/>
      <w:b/>
      <w:bCs/>
      <w:lang w:val="en-GB" w:eastAsia="sv-SE"/>
    </w:rPr>
  </w:style>
  <w:style w:type="paragraph" w:customStyle="1" w:styleId="45">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6">
    <w:name w:val="页脚 Char"/>
    <w:link w:val="23"/>
    <w:qFormat/>
    <w:uiPriority w:val="99"/>
    <w:rPr>
      <w:sz w:val="18"/>
      <w:szCs w:val="18"/>
    </w:rPr>
  </w:style>
  <w:style w:type="character" w:customStyle="1" w:styleId="47">
    <w:name w:val="标题 2 Char"/>
    <w:link w:val="3"/>
    <w:qFormat/>
    <w:uiPriority w:val="0"/>
    <w:rPr>
      <w:rFonts w:ascii="Cambria" w:hAnsi="Cambria"/>
      <w:b/>
      <w:bCs/>
      <w:sz w:val="32"/>
      <w:szCs w:val="32"/>
      <w:lang w:val="en-US" w:eastAsia="zh-CN"/>
    </w:rPr>
  </w:style>
  <w:style w:type="character" w:customStyle="1" w:styleId="48">
    <w:name w:val="标题 3 Char"/>
    <w:link w:val="4"/>
    <w:semiHidden/>
    <w:qFormat/>
    <w:uiPriority w:val="9"/>
    <w:rPr>
      <w:b/>
      <w:bCs/>
      <w:sz w:val="32"/>
      <w:szCs w:val="32"/>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0">
    <w:name w:val="z-Top of Form1"/>
    <w:basedOn w:val="1"/>
    <w:next w:val="1"/>
    <w:link w:val="5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1">
    <w:name w:val="z-窗体顶端 Char"/>
    <w:link w:val="50"/>
    <w:semiHidden/>
    <w:qFormat/>
    <w:uiPriority w:val="99"/>
    <w:rPr>
      <w:rFonts w:ascii="Arial" w:hAnsi="Arial" w:cs="Arial"/>
      <w:vanish/>
      <w:sz w:val="16"/>
      <w:szCs w:val="16"/>
    </w:rPr>
  </w:style>
  <w:style w:type="character" w:customStyle="1" w:styleId="52">
    <w:name w:val="hps"/>
    <w:basedOn w:val="30"/>
    <w:qFormat/>
    <w:uiPriority w:val="0"/>
  </w:style>
  <w:style w:type="paragraph" w:customStyle="1" w:styleId="53">
    <w:name w:val="z-Bottom of Form1"/>
    <w:basedOn w:val="1"/>
    <w:next w:val="1"/>
    <w:link w:val="54"/>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4">
    <w:name w:val="z-窗体底端 Char"/>
    <w:link w:val="53"/>
    <w:semiHidden/>
    <w:qFormat/>
    <w:uiPriority w:val="99"/>
    <w:rPr>
      <w:rFonts w:ascii="Arial" w:hAnsi="Arial" w:cs="Arial"/>
      <w:vanish/>
      <w:sz w:val="16"/>
      <w:szCs w:val="16"/>
    </w:rPr>
  </w:style>
  <w:style w:type="character" w:customStyle="1" w:styleId="55">
    <w:name w:val="日期 Char"/>
    <w:link w:val="21"/>
    <w:semiHidden/>
    <w:qFormat/>
    <w:uiPriority w:val="99"/>
    <w:rPr>
      <w:sz w:val="22"/>
      <w:szCs w:val="22"/>
    </w:rPr>
  </w:style>
  <w:style w:type="paragraph" w:customStyle="1" w:styleId="56">
    <w:name w:val="List Paragraph1"/>
    <w:basedOn w:val="1"/>
    <w:link w:val="70"/>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7">
    <w:name w:val="Revision1"/>
    <w:hidden/>
    <w:semiHidden/>
    <w:qFormat/>
    <w:uiPriority w:val="99"/>
    <w:rPr>
      <w:rFonts w:ascii="Calibri" w:hAnsi="Calibri" w:cs="Times New Roman" w:eastAsiaTheme="minorEastAsia"/>
      <w:sz w:val="22"/>
      <w:szCs w:val="22"/>
      <w:lang w:val="en-US" w:eastAsia="zh-CN" w:bidi="ar-SA"/>
    </w:rPr>
  </w:style>
  <w:style w:type="paragraph" w:customStyle="1" w:styleId="58">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9">
    <w:name w:val="short_text"/>
    <w:basedOn w:val="30"/>
    <w:qFormat/>
    <w:uiPriority w:val="0"/>
  </w:style>
  <w:style w:type="paragraph" w:customStyle="1" w:styleId="60">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1">
    <w:name w:val="纯文本 Char"/>
    <w:link w:val="20"/>
    <w:qFormat/>
    <w:uiPriority w:val="99"/>
    <w:rPr>
      <w:rFonts w:eastAsia="Calibri"/>
      <w:sz w:val="22"/>
      <w:szCs w:val="21"/>
      <w:lang w:val="en-GB" w:eastAsia="en-US"/>
    </w:rPr>
  </w:style>
  <w:style w:type="paragraph" w:customStyle="1" w:styleId="62">
    <w:name w:val="TAH"/>
    <w:basedOn w:val="63"/>
    <w:link w:val="83"/>
    <w:qFormat/>
    <w:uiPriority w:val="0"/>
    <w:rPr>
      <w:b/>
    </w:rPr>
  </w:style>
  <w:style w:type="paragraph" w:customStyle="1" w:styleId="63">
    <w:name w:val="TAC"/>
    <w:basedOn w:val="64"/>
    <w:qFormat/>
    <w:uiPriority w:val="0"/>
    <w:pPr>
      <w:spacing w:line="240" w:lineRule="auto"/>
      <w:jc w:val="center"/>
    </w:pPr>
    <w:rPr>
      <w:szCs w:val="20"/>
      <w:lang w:val="en-GB" w:eastAsia="en-US"/>
    </w:rPr>
  </w:style>
  <w:style w:type="paragraph" w:customStyle="1" w:styleId="64">
    <w:name w:val="TAL"/>
    <w:basedOn w:val="1"/>
    <w:qFormat/>
    <w:uiPriority w:val="0"/>
    <w:pPr>
      <w:keepNext/>
      <w:keepLines/>
      <w:spacing w:after="0"/>
    </w:pPr>
    <w:rPr>
      <w:rFonts w:ascii="Arial" w:hAnsi="Arial"/>
      <w:sz w:val="18"/>
    </w:rPr>
  </w:style>
  <w:style w:type="paragraph" w:customStyle="1" w:styleId="65">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6">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7">
    <w:name w:val="标题 4 Char"/>
    <w:link w:val="5"/>
    <w:qFormat/>
    <w:uiPriority w:val="0"/>
    <w:rPr>
      <w:rFonts w:ascii="Times New Roman" w:hAnsi="Times New Roman"/>
      <w:b/>
      <w:sz w:val="28"/>
      <w:szCs w:val="28"/>
      <w:lang w:val="en-GB"/>
    </w:rPr>
  </w:style>
  <w:style w:type="character" w:customStyle="1" w:styleId="68">
    <w:name w:val="标题 5 Char"/>
    <w:link w:val="6"/>
    <w:qFormat/>
    <w:uiPriority w:val="0"/>
    <w:rPr>
      <w:rFonts w:ascii="Times New Roman" w:hAnsi="Times New Roman"/>
      <w:b/>
      <w:sz w:val="24"/>
      <w:szCs w:val="24"/>
      <w:lang w:val="en-GB"/>
    </w:rPr>
  </w:style>
  <w:style w:type="character" w:customStyle="1" w:styleId="69">
    <w:name w:val="apple-converted-space"/>
    <w:basedOn w:val="30"/>
    <w:qFormat/>
    <w:uiPriority w:val="0"/>
  </w:style>
  <w:style w:type="character" w:customStyle="1" w:styleId="70">
    <w:name w:val="列出段落 Char"/>
    <w:link w:val="56"/>
    <w:qFormat/>
    <w:locked/>
    <w:uiPriority w:val="34"/>
    <w:rPr>
      <w:rFonts w:ascii="Times New Roman" w:hAnsi="Times New Roman"/>
      <w:kern w:val="2"/>
      <w:sz w:val="21"/>
      <w:szCs w:val="24"/>
    </w:rPr>
  </w:style>
  <w:style w:type="character" w:customStyle="1" w:styleId="71">
    <w:name w:val="keyword"/>
    <w:basedOn w:val="30"/>
    <w:qFormat/>
    <w:uiPriority w:val="0"/>
  </w:style>
  <w:style w:type="paragraph" w:customStyle="1" w:styleId="72">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3">
    <w:name w:val="Doc-text2"/>
    <w:basedOn w:val="1"/>
    <w:link w:val="74"/>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4">
    <w:name w:val="Doc-text2 Char"/>
    <w:link w:val="73"/>
    <w:qFormat/>
    <w:uiPriority w:val="0"/>
    <w:rPr>
      <w:rFonts w:ascii="Arial" w:hAnsi="Arial" w:eastAsia="MS Mincho"/>
      <w:szCs w:val="24"/>
      <w:lang w:val="en-GB" w:eastAsia="en-GB"/>
    </w:rPr>
  </w:style>
  <w:style w:type="character" w:customStyle="1" w:styleId="75">
    <w:name w:val="正文文本缩进 Char"/>
    <w:basedOn w:val="30"/>
    <w:link w:val="18"/>
    <w:semiHidden/>
    <w:qFormat/>
    <w:uiPriority w:val="99"/>
    <w:rPr>
      <w:sz w:val="22"/>
      <w:szCs w:val="22"/>
    </w:rPr>
  </w:style>
  <w:style w:type="paragraph" w:customStyle="1" w:styleId="76">
    <w:name w:val="main text"/>
    <w:basedOn w:val="1"/>
    <w:link w:val="77"/>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7">
    <w:name w:val="main text Char"/>
    <w:link w:val="76"/>
    <w:qFormat/>
    <w:uiPriority w:val="0"/>
    <w:rPr>
      <w:rFonts w:ascii="Times New Roman" w:hAnsi="Times New Roman" w:eastAsia="Malgun Gothic"/>
      <w:lang w:val="en-GB" w:eastAsia="ko-KR"/>
    </w:rPr>
  </w:style>
  <w:style w:type="paragraph" w:customStyle="1" w:styleId="78">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9">
    <w:name w:val="样式 正文缩进d + 首行缩进:  2 字符 段前: 0.35 行"/>
    <w:basedOn w:val="12"/>
    <w:link w:val="80"/>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0">
    <w:name w:val="样式 正文缩进d + 首行缩进:  2 字符 段前: 0.35 行 Char"/>
    <w:link w:val="79"/>
    <w:qFormat/>
    <w:uiPriority w:val="0"/>
    <w:rPr>
      <w:rFonts w:ascii="Times New Roman" w:hAnsi="Times New Roman" w:eastAsia="楷体_GB2312"/>
      <w:snapToGrid w:val="0"/>
      <w:sz w:val="28"/>
    </w:rPr>
  </w:style>
  <w:style w:type="paragraph" w:customStyle="1" w:styleId="81">
    <w:name w:val="B2"/>
    <w:basedOn w:val="19"/>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2">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3">
    <w:name w:val="TAH Car"/>
    <w:link w:val="62"/>
    <w:qFormat/>
    <w:uiPriority w:val="0"/>
    <w:rPr>
      <w:rFonts w:ascii="Arial" w:hAnsi="Arial"/>
      <w:b/>
      <w:sz w:val="18"/>
      <w:lang w:val="en-GB" w:eastAsia="en-US"/>
    </w:rPr>
  </w:style>
  <w:style w:type="paragraph" w:customStyle="1" w:styleId="84">
    <w:name w:val="_Style 1"/>
    <w:basedOn w:val="1"/>
    <w:qFormat/>
    <w:uiPriority w:val="34"/>
    <w:pPr>
      <w:ind w:left="840" w:leftChars="400"/>
    </w:pPr>
  </w:style>
  <w:style w:type="paragraph" w:customStyle="1" w:styleId="85">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6">
    <w:name w:val="B1"/>
    <w:basedOn w:val="25"/>
    <w:qFormat/>
    <w:uiPriority w:val="0"/>
  </w:style>
  <w:style w:type="paragraph" w:customStyle="1" w:styleId="87">
    <w:name w:val="EQ"/>
    <w:basedOn w:val="1"/>
    <w:next w:val="1"/>
    <w:unhideWhenUsed/>
    <w:qFormat/>
    <w:uiPriority w:val="0"/>
    <w:pPr>
      <w:keepLines/>
      <w:tabs>
        <w:tab w:val="center" w:pos="4536"/>
        <w:tab w:val="right" w:pos="9072"/>
      </w:tabs>
    </w:pPr>
    <w:rPr>
      <w:sz w:val="24"/>
    </w:rPr>
  </w:style>
  <w:style w:type="paragraph" w:customStyle="1" w:styleId="88">
    <w:name w:val="List Paragraph2"/>
    <w:basedOn w:val="1"/>
    <w:qFormat/>
    <w:uiPriority w:val="99"/>
    <w:pPr>
      <w:ind w:firstLine="420" w:firstLineChars="200"/>
    </w:pPr>
  </w:style>
  <w:style w:type="paragraph" w:customStyle="1" w:styleId="89">
    <w:name w:val="No Spacing1"/>
    <w:qFormat/>
    <w:uiPriority w:val="1"/>
    <w:rPr>
      <w:rFonts w:ascii="Times New Roman" w:hAnsi="Times New Roman" w:eastAsia="宋体" w:cs="Times New Roman"/>
      <w:sz w:val="22"/>
      <w:szCs w:val="22"/>
      <w:lang w:val="en-US" w:eastAsia="zh-CN" w:bidi="ar-SA"/>
    </w:rPr>
  </w:style>
  <w:style w:type="paragraph" w:customStyle="1" w:styleId="90">
    <w:name w:val="Comments"/>
    <w:basedOn w:val="1"/>
    <w:qFormat/>
    <w:uiPriority w:val="0"/>
    <w:pPr>
      <w:spacing w:before="40"/>
    </w:pPr>
    <w:rPr>
      <w:rFonts w:ascii="Arial" w:hAnsi="Arial" w:eastAsia="MS Mincho"/>
      <w:i/>
      <w:sz w:val="18"/>
      <w:lang w:eastAsia="en-GB"/>
    </w:rPr>
  </w:style>
  <w:style w:type="paragraph" w:customStyle="1" w:styleId="91">
    <w:name w:val="列出段落2"/>
    <w:basedOn w:val="1"/>
    <w:qFormat/>
    <w:uiPriority w:val="34"/>
    <w:pPr>
      <w:ind w:left="840" w:leftChars="400"/>
    </w:pPr>
  </w:style>
  <w:style w:type="paragraph" w:customStyle="1" w:styleId="9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3">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4">
    <w:name w:val="列出段落3"/>
    <w:basedOn w:val="1"/>
    <w:qFormat/>
    <w:uiPriority w:val="34"/>
    <w:pPr>
      <w:ind w:left="840" w:leftChars="400"/>
    </w:pPr>
  </w:style>
  <w:style w:type="paragraph" w:customStyle="1" w:styleId="95">
    <w:name w:val="列出段落4"/>
    <w:basedOn w:val="1"/>
    <w:qFormat/>
    <w:uiPriority w:val="34"/>
    <w:pPr>
      <w:ind w:left="840" w:leftChars="400"/>
    </w:pPr>
  </w:style>
  <w:style w:type="paragraph" w:customStyle="1" w:styleId="96">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7">
    <w:name w:val="List Paragraph"/>
    <w:basedOn w:val="1"/>
    <w:qFormat/>
    <w:uiPriority w:val="34"/>
    <w:pPr>
      <w:ind w:left="840" w:leftChars="400"/>
    </w:pPr>
  </w:style>
  <w:style w:type="character" w:styleId="98">
    <w:name w:val="Placeholder Text"/>
    <w:basedOn w:val="30"/>
    <w:semiHidden/>
    <w:qFormat/>
    <w:uiPriority w:val="99"/>
    <w:rPr>
      <w:color w:val="808080"/>
    </w:rPr>
  </w:style>
  <w:style w:type="paragraph" w:customStyle="1" w:styleId="99">
    <w:name w:val="a0"/>
    <w:basedOn w:val="1"/>
    <w:qFormat/>
    <w:uiPriority w:val="99"/>
    <w:pPr>
      <w:spacing w:before="100" w:beforeAutospacing="1" w:after="100" w:afterAutospacing="1" w:line="240" w:lineRule="auto"/>
    </w:pPr>
    <w:rPr>
      <w:rFonts w:ascii="宋体" w:hAnsi="宋体" w:eastAsia="宋体" w:cs="Gulim"/>
      <w:sz w:val="24"/>
      <w:szCs w:val="24"/>
      <w:lang w:eastAsia="ko-KR"/>
    </w:rPr>
  </w:style>
  <w:style w:type="paragraph" w:customStyle="1" w:styleId="100">
    <w:name w:val="3GPP Agreements"/>
    <w:basedOn w:val="14"/>
    <w:qFormat/>
    <w:uiPriority w:val="0"/>
    <w:pPr>
      <w:tabs>
        <w:tab w:val="clear" w:pos="360"/>
      </w:tabs>
      <w:spacing w:before="60" w:after="60"/>
      <w:jc w:val="both"/>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2.bin"/><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C5C13-8DEA-4F31-BD29-E02F0A575057}">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2013</Words>
  <Characters>11478</Characters>
  <Lines>95</Lines>
  <Paragraphs>26</Paragraphs>
  <TotalTime>117</TotalTime>
  <ScaleCrop>false</ScaleCrop>
  <LinksUpToDate>false</LinksUpToDate>
  <CharactersWithSpaces>13465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2019-10-04T06:55:00Z</dcterms:created>
  <dc:creator>ZTE</dc:creator>
  <cp:lastModifiedBy>ZTE-Guozeng</cp:lastModifiedBy>
  <dcterms:modified xsi:type="dcterms:W3CDTF">2021-09-29T10:37:45Z</dcterms:modified>
  <cp:revision>1176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